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921" w:rsidRDefault="008324E9" w:rsidP="008324E9">
      <w:bookmarkStart w:id="0" w:name="_GoBack"/>
      <w:r>
        <w:rPr>
          <w:noProof/>
          <w:lang w:val="es-CO" w:eastAsia="es-CO" w:bidi="ar-SA"/>
        </w:rPr>
        <w:drawing>
          <wp:inline distT="0" distB="0" distL="0" distR="0" wp14:anchorId="56A8DB1A" wp14:editId="26EA685C">
            <wp:extent cx="5612130" cy="8010525"/>
            <wp:effectExtent l="0" t="0" r="7620" b="9525"/>
            <wp:docPr id="1" name="Imagen 1" descr="Fondo azul y blanco, con los créditos de la obra: &#10;Nombre: Cuadernos de trabajo&#10;El lenguaje jurídico y sus sentidos lógicos, &#10;Autor: Juan Abelardo Hernández Franco.&#10;Serie Azul&#10;Redacción Judicial I , 2014" title="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5049" t="15157" r="15689" b="6209"/>
                    <a:stretch/>
                  </pic:blipFill>
                  <pic:spPr bwMode="auto">
                    <a:xfrm>
                      <a:off x="0" y="0"/>
                      <a:ext cx="5612130" cy="8010525"/>
                    </a:xfrm>
                    <a:prstGeom prst="rect">
                      <a:avLst/>
                    </a:prstGeom>
                    <a:ln>
                      <a:noFill/>
                    </a:ln>
                    <a:extLst>
                      <a:ext uri="{53640926-AAD7-44D8-BBD7-CCE9431645EC}">
                        <a14:shadowObscured xmlns:a14="http://schemas.microsoft.com/office/drawing/2010/main"/>
                      </a:ext>
                    </a:extLst>
                  </pic:spPr>
                </pic:pic>
              </a:graphicData>
            </a:graphic>
          </wp:inline>
        </w:drawing>
      </w:r>
      <w:bookmarkEnd w:id="0"/>
      <w:r w:rsidR="00B81921">
        <w:br w:type="page"/>
      </w:r>
    </w:p>
    <w:p w:rsidR="00B81921" w:rsidRDefault="00B81921" w:rsidP="008324E9">
      <w:pPr>
        <w:pStyle w:val="Ttulo"/>
      </w:pPr>
      <w:r>
        <w:lastRenderedPageBreak/>
        <w:t>CUADERNOS  DE TRABAJO</w:t>
      </w:r>
    </w:p>
    <w:p w:rsidR="00B81921" w:rsidRDefault="00B81921" w:rsidP="00B81921">
      <w:r>
        <w:t>Es una línea de publicaciones del Instituto de la Judicatura Federal que ofrece a la comunidad judicial y académica  materiales para la reflexión y discusión sobre la justicia, así como herramientas  de trabajo  para los juzgadores,  sus colaboradores  y auxiliares,  en diez grandes series:</w:t>
      </w:r>
    </w:p>
    <w:p w:rsidR="00B81921" w:rsidRDefault="00B81921" w:rsidP="00B81921">
      <w:r>
        <w:t>Serie Roja. Estudios sobre la carrera judicial</w:t>
      </w:r>
    </w:p>
    <w:p w:rsidR="00B81921" w:rsidRDefault="00B81921" w:rsidP="00B81921">
      <w:r>
        <w:t>Serie Amarilla. Notas pedagógicas</w:t>
      </w:r>
    </w:p>
    <w:p w:rsidR="00B81921" w:rsidRDefault="00B81921" w:rsidP="00B81921">
      <w:r>
        <w:t>Serie Verde. Metodología del trabajo judicial</w:t>
      </w:r>
    </w:p>
    <w:p w:rsidR="00B81921" w:rsidRDefault="00B81921" w:rsidP="00B81921">
      <w:r>
        <w:t>Serie Azul. Redacción judicial</w:t>
      </w:r>
    </w:p>
    <w:p w:rsidR="00B81921" w:rsidRDefault="00B81921" w:rsidP="00B81921">
      <w:r>
        <w:t>Serie Naranja. Ética judicial</w:t>
      </w:r>
    </w:p>
    <w:p w:rsidR="00B81921" w:rsidRDefault="00B81921" w:rsidP="00B81921">
      <w:r>
        <w:t>Serie Olivo. Información legislativa Serie Marrón. Información general Serie Gris. Sistema penal acusatorio Serie Blanca. Grupos vulnerables Serie Morada. Igualdad de género</w:t>
      </w:r>
    </w:p>
    <w:p w:rsidR="00B81921" w:rsidRDefault="00B81921" w:rsidP="00B81921">
      <w:r>
        <w:t>Es las que se recogerán monografías, ensayos, cuadros estadísticos, antologías, materiales didácticos,  procesos de creación o de reforma de leyes, compilación de acuerdos de la Suprema  Corte de Justicia de la  Nación  o del Consejo de la Judicatura Federal, textos legales y jurisprudenciales.</w:t>
      </w:r>
    </w:p>
    <w:p w:rsidR="008324E9" w:rsidRDefault="008855B7" w:rsidP="008855B7">
      <w:r w:rsidRPr="008855B7">
        <w:t>El lenguaje jurídico y sus sentidos lógicos. Cuadernos de trabajo. Serie Azul, Redacción Judicial 1/2014. Colección Instituto de la Judicatura Federal</w:t>
      </w:r>
      <w:r w:rsidR="008324E9">
        <w:br w:type="page"/>
      </w:r>
    </w:p>
    <w:p w:rsidR="00B81921" w:rsidRDefault="00B81921" w:rsidP="00B81921">
      <w:r>
        <w:lastRenderedPageBreak/>
        <w:t>Los  Cuadernos  de  trabajo  son  de  distribución  gratuita.  Los trabajos firmados  son responsabilidad exclusiva de sus autores(as), por lo que no reflejan, necesariamente, el punto de vista institucional. Se autoriza la reproducción total o parcial citando la fuente.</w:t>
      </w:r>
    </w:p>
    <w:p w:rsidR="00E05D3E" w:rsidRDefault="00B81921" w:rsidP="00B81921">
      <w:r>
        <w:t>Instituto de la Judicatura Federal Escuela Judicial.</w:t>
      </w:r>
    </w:p>
    <w:p w:rsidR="00B81921" w:rsidRDefault="00B81921" w:rsidP="00B81921">
      <w:r>
        <w:t>Sidar y Rovirosa  No. 236, colonia Del Parque, delegación Venustiano Carranza, C.P. 15960, México, D.F., Tel. 513389 00, Ext. 6669.</w:t>
      </w:r>
    </w:p>
    <w:p w:rsidR="00E05D3E" w:rsidRDefault="00B81921" w:rsidP="00B81921">
      <w:r>
        <w:t xml:space="preserve">Coordinadores: Magdo. Julio César Vázquez­Mellado García,  </w:t>
      </w:r>
    </w:p>
    <w:p w:rsidR="00B81921" w:rsidRDefault="00B81921" w:rsidP="00B81921">
      <w:r>
        <w:t>Director General;  David Cienfuegos Salgado, Secretario Técnico de Investigación.</w:t>
      </w:r>
    </w:p>
    <w:p w:rsidR="00B81921" w:rsidRDefault="00B81921" w:rsidP="00B81921">
      <w:r>
        <w:t xml:space="preserve">Cualquier crítica o comentario sobre el contenido de los Cuadernos serán bienvenidos a la cuenta de correo electrónico: investigacionijf@correo.cjf.gob.mx, o al teléfono (01) 51  33 89 00 extensión 6669, y serán hechos llegar a las y/o los autores. </w:t>
      </w:r>
    </w:p>
    <w:p w:rsidR="00B81921" w:rsidRDefault="00B81921" w:rsidP="00B81921">
      <w:r>
        <w:t>Acerca del lenguaje jurídico</w:t>
      </w:r>
    </w:p>
    <w:p w:rsidR="00B81921" w:rsidRDefault="00B81921">
      <w:pPr>
        <w:widowControl/>
        <w:autoSpaceDE/>
        <w:autoSpaceDN/>
        <w:spacing w:after="200" w:line="276" w:lineRule="auto"/>
      </w:pPr>
      <w:r>
        <w:br w:type="page"/>
      </w:r>
    </w:p>
    <w:p w:rsidR="008855B7" w:rsidRDefault="008855B7" w:rsidP="008855B7">
      <w:pPr>
        <w:pStyle w:val="Ttulo1"/>
      </w:pPr>
      <w:bookmarkStart w:id="1" w:name="_Toc81161291"/>
      <w:r>
        <w:lastRenderedPageBreak/>
        <w:t>Tabla de contenido</w:t>
      </w:r>
      <w:bookmarkEnd w:id="1"/>
    </w:p>
    <w:p w:rsidR="008855B7" w:rsidRDefault="008855B7">
      <w:pPr>
        <w:pStyle w:val="TDC1"/>
        <w:tabs>
          <w:tab w:val="right" w:leader="dot" w:pos="8828"/>
        </w:tabs>
        <w:rPr>
          <w:rFonts w:asciiTheme="minorHAnsi" w:eastAsiaTheme="minorEastAsia" w:hAnsiTheme="minorHAnsi" w:cstheme="minorBidi"/>
          <w:noProof/>
          <w:sz w:val="22"/>
          <w:lang w:val="es-CO" w:eastAsia="es-CO" w:bidi="ar-SA"/>
        </w:rPr>
      </w:pPr>
      <w:r>
        <w:fldChar w:fldCharType="begin"/>
      </w:r>
      <w:r>
        <w:instrText xml:space="preserve"> TOC \o "1-4" \h \z \u </w:instrText>
      </w:r>
      <w:r>
        <w:fldChar w:fldCharType="separate"/>
      </w:r>
      <w:hyperlink w:anchor="_Toc81161291" w:history="1">
        <w:r w:rsidRPr="00672F92">
          <w:rPr>
            <w:rStyle w:val="Hipervnculo"/>
            <w:noProof/>
          </w:rPr>
          <w:t>Tabla de contenido</w:t>
        </w:r>
        <w:r>
          <w:rPr>
            <w:noProof/>
            <w:webHidden/>
          </w:rPr>
          <w:tab/>
        </w:r>
        <w:r>
          <w:rPr>
            <w:noProof/>
            <w:webHidden/>
          </w:rPr>
          <w:fldChar w:fldCharType="begin"/>
        </w:r>
        <w:r>
          <w:rPr>
            <w:noProof/>
            <w:webHidden/>
          </w:rPr>
          <w:instrText xml:space="preserve"> PAGEREF _Toc81161291 \h </w:instrText>
        </w:r>
        <w:r>
          <w:rPr>
            <w:noProof/>
            <w:webHidden/>
          </w:rPr>
        </w:r>
        <w:r>
          <w:rPr>
            <w:noProof/>
            <w:webHidden/>
          </w:rPr>
          <w:fldChar w:fldCharType="separate"/>
        </w:r>
        <w:r>
          <w:rPr>
            <w:noProof/>
            <w:webHidden/>
          </w:rPr>
          <w:t>4</w:t>
        </w:r>
        <w:r>
          <w:rPr>
            <w:noProof/>
            <w:webHidden/>
          </w:rPr>
          <w:fldChar w:fldCharType="end"/>
        </w:r>
      </w:hyperlink>
    </w:p>
    <w:p w:rsidR="008855B7" w:rsidRDefault="00AD2E8F">
      <w:pPr>
        <w:pStyle w:val="TDC1"/>
        <w:tabs>
          <w:tab w:val="right" w:leader="dot" w:pos="8828"/>
        </w:tabs>
        <w:rPr>
          <w:rFonts w:asciiTheme="minorHAnsi" w:eastAsiaTheme="minorEastAsia" w:hAnsiTheme="minorHAnsi" w:cstheme="minorBidi"/>
          <w:noProof/>
          <w:sz w:val="22"/>
          <w:lang w:val="es-CO" w:eastAsia="es-CO" w:bidi="ar-SA"/>
        </w:rPr>
      </w:pPr>
      <w:hyperlink w:anchor="_Toc81161292" w:history="1">
        <w:r w:rsidR="008855B7" w:rsidRPr="00672F92">
          <w:rPr>
            <w:rStyle w:val="Hipervnculo"/>
            <w:noProof/>
          </w:rPr>
          <w:t>Presentación</w:t>
        </w:r>
        <w:r w:rsidR="008855B7">
          <w:rPr>
            <w:noProof/>
            <w:webHidden/>
          </w:rPr>
          <w:tab/>
        </w:r>
        <w:r w:rsidR="008855B7">
          <w:rPr>
            <w:noProof/>
            <w:webHidden/>
          </w:rPr>
          <w:fldChar w:fldCharType="begin"/>
        </w:r>
        <w:r w:rsidR="008855B7">
          <w:rPr>
            <w:noProof/>
            <w:webHidden/>
          </w:rPr>
          <w:instrText xml:space="preserve"> PAGEREF _Toc81161292 \h </w:instrText>
        </w:r>
        <w:r w:rsidR="008855B7">
          <w:rPr>
            <w:noProof/>
            <w:webHidden/>
          </w:rPr>
        </w:r>
        <w:r w:rsidR="008855B7">
          <w:rPr>
            <w:noProof/>
            <w:webHidden/>
          </w:rPr>
          <w:fldChar w:fldCharType="separate"/>
        </w:r>
        <w:r w:rsidR="008855B7">
          <w:rPr>
            <w:noProof/>
            <w:webHidden/>
          </w:rPr>
          <w:t>6</w:t>
        </w:r>
        <w:r w:rsidR="008855B7">
          <w:rPr>
            <w:noProof/>
            <w:webHidden/>
          </w:rPr>
          <w:fldChar w:fldCharType="end"/>
        </w:r>
      </w:hyperlink>
    </w:p>
    <w:p w:rsidR="008855B7" w:rsidRDefault="00AD2E8F">
      <w:pPr>
        <w:pStyle w:val="TDC1"/>
        <w:tabs>
          <w:tab w:val="right" w:leader="dot" w:pos="8828"/>
        </w:tabs>
        <w:rPr>
          <w:rFonts w:asciiTheme="minorHAnsi" w:eastAsiaTheme="minorEastAsia" w:hAnsiTheme="minorHAnsi" w:cstheme="minorBidi"/>
          <w:noProof/>
          <w:sz w:val="22"/>
          <w:lang w:val="es-CO" w:eastAsia="es-CO" w:bidi="ar-SA"/>
        </w:rPr>
      </w:pPr>
      <w:hyperlink w:anchor="_Toc81161293" w:history="1">
        <w:r w:rsidR="008855B7" w:rsidRPr="00672F92">
          <w:rPr>
            <w:rStyle w:val="Hipervnculo"/>
            <w:noProof/>
          </w:rPr>
          <w:t>Introducción</w:t>
        </w:r>
        <w:r w:rsidR="008855B7">
          <w:rPr>
            <w:noProof/>
            <w:webHidden/>
          </w:rPr>
          <w:tab/>
        </w:r>
        <w:r w:rsidR="008855B7">
          <w:rPr>
            <w:noProof/>
            <w:webHidden/>
          </w:rPr>
          <w:fldChar w:fldCharType="begin"/>
        </w:r>
        <w:r w:rsidR="008855B7">
          <w:rPr>
            <w:noProof/>
            <w:webHidden/>
          </w:rPr>
          <w:instrText xml:space="preserve"> PAGEREF _Toc81161293 \h </w:instrText>
        </w:r>
        <w:r w:rsidR="008855B7">
          <w:rPr>
            <w:noProof/>
            <w:webHidden/>
          </w:rPr>
        </w:r>
        <w:r w:rsidR="008855B7">
          <w:rPr>
            <w:noProof/>
            <w:webHidden/>
          </w:rPr>
          <w:fldChar w:fldCharType="separate"/>
        </w:r>
        <w:r w:rsidR="008855B7">
          <w:rPr>
            <w:noProof/>
            <w:webHidden/>
          </w:rPr>
          <w:t>9</w:t>
        </w:r>
        <w:r w:rsidR="008855B7">
          <w:rPr>
            <w:noProof/>
            <w:webHidden/>
          </w:rPr>
          <w:fldChar w:fldCharType="end"/>
        </w:r>
      </w:hyperlink>
    </w:p>
    <w:p w:rsidR="008855B7" w:rsidRDefault="00AD2E8F">
      <w:pPr>
        <w:pStyle w:val="TDC1"/>
        <w:tabs>
          <w:tab w:val="right" w:leader="dot" w:pos="8828"/>
        </w:tabs>
        <w:rPr>
          <w:rFonts w:asciiTheme="minorHAnsi" w:eastAsiaTheme="minorEastAsia" w:hAnsiTheme="minorHAnsi" w:cstheme="minorBidi"/>
          <w:noProof/>
          <w:sz w:val="22"/>
          <w:lang w:val="es-CO" w:eastAsia="es-CO" w:bidi="ar-SA"/>
        </w:rPr>
      </w:pPr>
      <w:hyperlink w:anchor="_Toc81161294" w:history="1">
        <w:r w:rsidR="008855B7" w:rsidRPr="00672F92">
          <w:rPr>
            <w:rStyle w:val="Hipervnculo"/>
            <w:noProof/>
          </w:rPr>
          <w:t>1. RAZONAMIENTO LEGAL Y LA LÓGICA COMPRENSIVA</w:t>
        </w:r>
        <w:r w:rsidR="008855B7">
          <w:rPr>
            <w:noProof/>
            <w:webHidden/>
          </w:rPr>
          <w:tab/>
        </w:r>
        <w:r w:rsidR="008855B7">
          <w:rPr>
            <w:noProof/>
            <w:webHidden/>
          </w:rPr>
          <w:fldChar w:fldCharType="begin"/>
        </w:r>
        <w:r w:rsidR="008855B7">
          <w:rPr>
            <w:noProof/>
            <w:webHidden/>
          </w:rPr>
          <w:instrText xml:space="preserve"> PAGEREF _Toc81161294 \h </w:instrText>
        </w:r>
        <w:r w:rsidR="008855B7">
          <w:rPr>
            <w:noProof/>
            <w:webHidden/>
          </w:rPr>
        </w:r>
        <w:r w:rsidR="008855B7">
          <w:rPr>
            <w:noProof/>
            <w:webHidden/>
          </w:rPr>
          <w:fldChar w:fldCharType="separate"/>
        </w:r>
        <w:r w:rsidR="008855B7">
          <w:rPr>
            <w:noProof/>
            <w:webHidden/>
          </w:rPr>
          <w:t>11</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295" w:history="1">
        <w:r w:rsidR="008855B7" w:rsidRPr="00672F92">
          <w:rPr>
            <w:rStyle w:val="Hipervnculo"/>
            <w:noProof/>
          </w:rPr>
          <w:t>1.1. LEG: ORIGEN ETIMOLÓGICO COMÚN DE “LÓGICA” Y “LEGAL”</w:t>
        </w:r>
        <w:r w:rsidR="008855B7">
          <w:rPr>
            <w:noProof/>
            <w:webHidden/>
          </w:rPr>
          <w:tab/>
        </w:r>
        <w:r w:rsidR="008855B7">
          <w:rPr>
            <w:noProof/>
            <w:webHidden/>
          </w:rPr>
          <w:fldChar w:fldCharType="begin"/>
        </w:r>
        <w:r w:rsidR="008855B7">
          <w:rPr>
            <w:noProof/>
            <w:webHidden/>
          </w:rPr>
          <w:instrText xml:space="preserve"> PAGEREF _Toc81161295 \h </w:instrText>
        </w:r>
        <w:r w:rsidR="008855B7">
          <w:rPr>
            <w:noProof/>
            <w:webHidden/>
          </w:rPr>
        </w:r>
        <w:r w:rsidR="008855B7">
          <w:rPr>
            <w:noProof/>
            <w:webHidden/>
          </w:rPr>
          <w:fldChar w:fldCharType="separate"/>
        </w:r>
        <w:r w:rsidR="008855B7">
          <w:rPr>
            <w:noProof/>
            <w:webHidden/>
          </w:rPr>
          <w:t>11</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296" w:history="1">
        <w:r w:rsidR="008855B7" w:rsidRPr="00672F92">
          <w:rPr>
            <w:rStyle w:val="Hipervnculo"/>
            <w:noProof/>
          </w:rPr>
          <w:t>1.2 LÓGICA DE LO RAZONABLE Y LÓGICA FORMAL ANALÍTICA</w:t>
        </w:r>
        <w:r w:rsidR="008855B7">
          <w:rPr>
            <w:noProof/>
            <w:webHidden/>
          </w:rPr>
          <w:tab/>
        </w:r>
        <w:r w:rsidR="008855B7">
          <w:rPr>
            <w:noProof/>
            <w:webHidden/>
          </w:rPr>
          <w:fldChar w:fldCharType="begin"/>
        </w:r>
        <w:r w:rsidR="008855B7">
          <w:rPr>
            <w:noProof/>
            <w:webHidden/>
          </w:rPr>
          <w:instrText xml:space="preserve"> PAGEREF _Toc81161296 \h </w:instrText>
        </w:r>
        <w:r w:rsidR="008855B7">
          <w:rPr>
            <w:noProof/>
            <w:webHidden/>
          </w:rPr>
        </w:r>
        <w:r w:rsidR="008855B7">
          <w:rPr>
            <w:noProof/>
            <w:webHidden/>
          </w:rPr>
          <w:fldChar w:fldCharType="separate"/>
        </w:r>
        <w:r w:rsidR="008855B7">
          <w:rPr>
            <w:noProof/>
            <w:webHidden/>
          </w:rPr>
          <w:t>12</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297" w:history="1">
        <w:r w:rsidR="008855B7" w:rsidRPr="00672F92">
          <w:rPr>
            <w:rStyle w:val="Hipervnculo"/>
            <w:noProof/>
          </w:rPr>
          <w:t>1.3. DISTINCIÓN  ENTRE  CONCEPTOS  Y NOCIONES (CONCEPTOS INDETERMINADOS)</w:t>
        </w:r>
        <w:r w:rsidR="008855B7">
          <w:rPr>
            <w:noProof/>
            <w:webHidden/>
          </w:rPr>
          <w:tab/>
        </w:r>
        <w:r w:rsidR="008855B7">
          <w:rPr>
            <w:noProof/>
            <w:webHidden/>
          </w:rPr>
          <w:fldChar w:fldCharType="begin"/>
        </w:r>
        <w:r w:rsidR="008855B7">
          <w:rPr>
            <w:noProof/>
            <w:webHidden/>
          </w:rPr>
          <w:instrText xml:space="preserve"> PAGEREF _Toc81161297 \h </w:instrText>
        </w:r>
        <w:r w:rsidR="008855B7">
          <w:rPr>
            <w:noProof/>
            <w:webHidden/>
          </w:rPr>
        </w:r>
        <w:r w:rsidR="008855B7">
          <w:rPr>
            <w:noProof/>
            <w:webHidden/>
          </w:rPr>
          <w:fldChar w:fldCharType="separate"/>
        </w:r>
        <w:r w:rsidR="008855B7">
          <w:rPr>
            <w:noProof/>
            <w:webHidden/>
          </w:rPr>
          <w:t>19</w:t>
        </w:r>
        <w:r w:rsidR="008855B7">
          <w:rPr>
            <w:noProof/>
            <w:webHidden/>
          </w:rPr>
          <w:fldChar w:fldCharType="end"/>
        </w:r>
      </w:hyperlink>
    </w:p>
    <w:p w:rsidR="008855B7" w:rsidRDefault="00AD2E8F">
      <w:pPr>
        <w:pStyle w:val="TDC3"/>
        <w:tabs>
          <w:tab w:val="right" w:leader="dot" w:pos="8828"/>
        </w:tabs>
        <w:rPr>
          <w:rFonts w:asciiTheme="minorHAnsi" w:eastAsiaTheme="minorEastAsia" w:hAnsiTheme="minorHAnsi" w:cstheme="minorBidi"/>
          <w:noProof/>
          <w:sz w:val="22"/>
          <w:lang w:val="es-CO" w:eastAsia="es-CO" w:bidi="ar-SA"/>
        </w:rPr>
      </w:pPr>
      <w:hyperlink w:anchor="_Toc81161298" w:history="1">
        <w:r w:rsidR="008855B7" w:rsidRPr="00672F92">
          <w:rPr>
            <w:rStyle w:val="Hipervnculo"/>
            <w:noProof/>
          </w:rPr>
          <w:t>1.3.1 El Derecho es un conocimiento comprensivo porque emplea nociones</w:t>
        </w:r>
        <w:r w:rsidR="008855B7">
          <w:rPr>
            <w:noProof/>
            <w:webHidden/>
          </w:rPr>
          <w:tab/>
        </w:r>
        <w:r w:rsidR="008855B7">
          <w:rPr>
            <w:noProof/>
            <w:webHidden/>
          </w:rPr>
          <w:fldChar w:fldCharType="begin"/>
        </w:r>
        <w:r w:rsidR="008855B7">
          <w:rPr>
            <w:noProof/>
            <w:webHidden/>
          </w:rPr>
          <w:instrText xml:space="preserve"> PAGEREF _Toc81161298 \h </w:instrText>
        </w:r>
        <w:r w:rsidR="008855B7">
          <w:rPr>
            <w:noProof/>
            <w:webHidden/>
          </w:rPr>
        </w:r>
        <w:r w:rsidR="008855B7">
          <w:rPr>
            <w:noProof/>
            <w:webHidden/>
          </w:rPr>
          <w:fldChar w:fldCharType="separate"/>
        </w:r>
        <w:r w:rsidR="008855B7">
          <w:rPr>
            <w:noProof/>
            <w:webHidden/>
          </w:rPr>
          <w:t>22</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299" w:history="1">
        <w:r w:rsidR="008855B7" w:rsidRPr="00672F92">
          <w:rPr>
            <w:rStyle w:val="Hipervnculo"/>
            <w:noProof/>
          </w:rPr>
          <w:t>1.4. PRECURSORES TEÓRICOS DE LA LÓGICA COMPRENSIVA</w:t>
        </w:r>
        <w:r w:rsidR="008855B7">
          <w:rPr>
            <w:noProof/>
            <w:webHidden/>
          </w:rPr>
          <w:tab/>
        </w:r>
        <w:r w:rsidR="008855B7">
          <w:rPr>
            <w:noProof/>
            <w:webHidden/>
          </w:rPr>
          <w:fldChar w:fldCharType="begin"/>
        </w:r>
        <w:r w:rsidR="008855B7">
          <w:rPr>
            <w:noProof/>
            <w:webHidden/>
          </w:rPr>
          <w:instrText xml:space="preserve"> PAGEREF _Toc81161299 \h </w:instrText>
        </w:r>
        <w:r w:rsidR="008855B7">
          <w:rPr>
            <w:noProof/>
            <w:webHidden/>
          </w:rPr>
        </w:r>
        <w:r w:rsidR="008855B7">
          <w:rPr>
            <w:noProof/>
            <w:webHidden/>
          </w:rPr>
          <w:fldChar w:fldCharType="separate"/>
        </w:r>
        <w:r w:rsidR="008855B7">
          <w:rPr>
            <w:noProof/>
            <w:webHidden/>
          </w:rPr>
          <w:t>24</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300" w:history="1">
        <w:r w:rsidR="008855B7" w:rsidRPr="00672F92">
          <w:rPr>
            <w:rStyle w:val="Hipervnculo"/>
            <w:noProof/>
          </w:rPr>
          <w:t>1.5. EL ERROR EN EL QUE SE INCURRE AL INTENTAR REDUCIR LAS NOCIONES EN CONCEPTOS</w:t>
        </w:r>
        <w:r w:rsidR="008855B7">
          <w:rPr>
            <w:noProof/>
            <w:webHidden/>
          </w:rPr>
          <w:tab/>
        </w:r>
        <w:r w:rsidR="008855B7">
          <w:rPr>
            <w:noProof/>
            <w:webHidden/>
          </w:rPr>
          <w:fldChar w:fldCharType="begin"/>
        </w:r>
        <w:r w:rsidR="008855B7">
          <w:rPr>
            <w:noProof/>
            <w:webHidden/>
          </w:rPr>
          <w:instrText xml:space="preserve"> PAGEREF _Toc81161300 \h </w:instrText>
        </w:r>
        <w:r w:rsidR="008855B7">
          <w:rPr>
            <w:noProof/>
            <w:webHidden/>
          </w:rPr>
        </w:r>
        <w:r w:rsidR="008855B7">
          <w:rPr>
            <w:noProof/>
            <w:webHidden/>
          </w:rPr>
          <w:fldChar w:fldCharType="separate"/>
        </w:r>
        <w:r w:rsidR="008855B7">
          <w:rPr>
            <w:noProof/>
            <w:webHidden/>
          </w:rPr>
          <w:t>30</w:t>
        </w:r>
        <w:r w:rsidR="008855B7">
          <w:rPr>
            <w:noProof/>
            <w:webHidden/>
          </w:rPr>
          <w:fldChar w:fldCharType="end"/>
        </w:r>
      </w:hyperlink>
    </w:p>
    <w:p w:rsidR="008855B7" w:rsidRDefault="00AD2E8F">
      <w:pPr>
        <w:pStyle w:val="TDC1"/>
        <w:tabs>
          <w:tab w:val="right" w:leader="dot" w:pos="8828"/>
        </w:tabs>
        <w:rPr>
          <w:rFonts w:asciiTheme="minorHAnsi" w:eastAsiaTheme="minorEastAsia" w:hAnsiTheme="minorHAnsi" w:cstheme="minorBidi"/>
          <w:noProof/>
          <w:sz w:val="22"/>
          <w:lang w:val="es-CO" w:eastAsia="es-CO" w:bidi="ar-SA"/>
        </w:rPr>
      </w:pPr>
      <w:hyperlink w:anchor="_Toc81161301" w:history="1">
        <w:r w:rsidR="008855B7" w:rsidRPr="00672F92">
          <w:rPr>
            <w:rStyle w:val="Hipervnculo"/>
            <w:noProof/>
          </w:rPr>
          <w:t>2. SUBSUNCIÓN</w:t>
        </w:r>
        <w:r w:rsidR="008855B7">
          <w:rPr>
            <w:noProof/>
            <w:webHidden/>
          </w:rPr>
          <w:tab/>
        </w:r>
        <w:r w:rsidR="008855B7">
          <w:rPr>
            <w:noProof/>
            <w:webHidden/>
          </w:rPr>
          <w:fldChar w:fldCharType="begin"/>
        </w:r>
        <w:r w:rsidR="008855B7">
          <w:rPr>
            <w:noProof/>
            <w:webHidden/>
          </w:rPr>
          <w:instrText xml:space="preserve"> PAGEREF _Toc81161301 \h </w:instrText>
        </w:r>
        <w:r w:rsidR="008855B7">
          <w:rPr>
            <w:noProof/>
            <w:webHidden/>
          </w:rPr>
        </w:r>
        <w:r w:rsidR="008855B7">
          <w:rPr>
            <w:noProof/>
            <w:webHidden/>
          </w:rPr>
          <w:fldChar w:fldCharType="separate"/>
        </w:r>
        <w:r w:rsidR="008855B7">
          <w:rPr>
            <w:noProof/>
            <w:webHidden/>
          </w:rPr>
          <w:t>35</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302" w:history="1">
        <w:r w:rsidR="008855B7" w:rsidRPr="00672F92">
          <w:rPr>
            <w:rStyle w:val="Hipervnculo"/>
            <w:noProof/>
          </w:rPr>
          <w:t>2.1. LA INFERENCIA DE CONCEPTOS Y LA INFERENCIA DE NOCIONES</w:t>
        </w:r>
        <w:r w:rsidR="008855B7">
          <w:rPr>
            <w:noProof/>
            <w:webHidden/>
          </w:rPr>
          <w:tab/>
        </w:r>
        <w:r w:rsidR="008855B7">
          <w:rPr>
            <w:noProof/>
            <w:webHidden/>
          </w:rPr>
          <w:fldChar w:fldCharType="begin"/>
        </w:r>
        <w:r w:rsidR="008855B7">
          <w:rPr>
            <w:noProof/>
            <w:webHidden/>
          </w:rPr>
          <w:instrText xml:space="preserve"> PAGEREF _Toc81161302 \h </w:instrText>
        </w:r>
        <w:r w:rsidR="008855B7">
          <w:rPr>
            <w:noProof/>
            <w:webHidden/>
          </w:rPr>
        </w:r>
        <w:r w:rsidR="008855B7">
          <w:rPr>
            <w:noProof/>
            <w:webHidden/>
          </w:rPr>
          <w:fldChar w:fldCharType="separate"/>
        </w:r>
        <w:r w:rsidR="008855B7">
          <w:rPr>
            <w:noProof/>
            <w:webHidden/>
          </w:rPr>
          <w:t>35</w:t>
        </w:r>
        <w:r w:rsidR="008855B7">
          <w:rPr>
            <w:noProof/>
            <w:webHidden/>
          </w:rPr>
          <w:fldChar w:fldCharType="end"/>
        </w:r>
      </w:hyperlink>
    </w:p>
    <w:p w:rsidR="008855B7" w:rsidRDefault="00AD2E8F">
      <w:pPr>
        <w:pStyle w:val="TDC3"/>
        <w:tabs>
          <w:tab w:val="right" w:leader="dot" w:pos="8828"/>
        </w:tabs>
        <w:rPr>
          <w:rFonts w:asciiTheme="minorHAnsi" w:eastAsiaTheme="minorEastAsia" w:hAnsiTheme="minorHAnsi" w:cstheme="minorBidi"/>
          <w:noProof/>
          <w:sz w:val="22"/>
          <w:lang w:val="es-CO" w:eastAsia="es-CO" w:bidi="ar-SA"/>
        </w:rPr>
      </w:pPr>
      <w:hyperlink w:anchor="_Toc81161303" w:history="1">
        <w:r w:rsidR="008855B7" w:rsidRPr="00672F92">
          <w:rPr>
            <w:rStyle w:val="Hipervnculo"/>
            <w:noProof/>
          </w:rPr>
          <w:t>Resumen:</w:t>
        </w:r>
        <w:r w:rsidR="008855B7">
          <w:rPr>
            <w:noProof/>
            <w:webHidden/>
          </w:rPr>
          <w:tab/>
        </w:r>
        <w:r w:rsidR="008855B7">
          <w:rPr>
            <w:noProof/>
            <w:webHidden/>
          </w:rPr>
          <w:fldChar w:fldCharType="begin"/>
        </w:r>
        <w:r w:rsidR="008855B7">
          <w:rPr>
            <w:noProof/>
            <w:webHidden/>
          </w:rPr>
          <w:instrText xml:space="preserve"> PAGEREF _Toc81161303 \h </w:instrText>
        </w:r>
        <w:r w:rsidR="008855B7">
          <w:rPr>
            <w:noProof/>
            <w:webHidden/>
          </w:rPr>
        </w:r>
        <w:r w:rsidR="008855B7">
          <w:rPr>
            <w:noProof/>
            <w:webHidden/>
          </w:rPr>
          <w:fldChar w:fldCharType="separate"/>
        </w:r>
        <w:r w:rsidR="008855B7">
          <w:rPr>
            <w:noProof/>
            <w:webHidden/>
          </w:rPr>
          <w:t>35</w:t>
        </w:r>
        <w:r w:rsidR="008855B7">
          <w:rPr>
            <w:noProof/>
            <w:webHidden/>
          </w:rPr>
          <w:fldChar w:fldCharType="end"/>
        </w:r>
      </w:hyperlink>
    </w:p>
    <w:p w:rsidR="008855B7" w:rsidRDefault="00AD2E8F">
      <w:pPr>
        <w:pStyle w:val="TDC3"/>
        <w:tabs>
          <w:tab w:val="right" w:leader="dot" w:pos="8828"/>
        </w:tabs>
        <w:rPr>
          <w:rFonts w:asciiTheme="minorHAnsi" w:eastAsiaTheme="minorEastAsia" w:hAnsiTheme="minorHAnsi" w:cstheme="minorBidi"/>
          <w:noProof/>
          <w:sz w:val="22"/>
          <w:lang w:val="es-CO" w:eastAsia="es-CO" w:bidi="ar-SA"/>
        </w:rPr>
      </w:pPr>
      <w:hyperlink w:anchor="_Toc81161304" w:history="1">
        <w:r w:rsidR="008855B7" w:rsidRPr="00672F92">
          <w:rPr>
            <w:rStyle w:val="Hipervnculo"/>
            <w:noProof/>
          </w:rPr>
          <w:t>2.1.1. Inferencia de conceptos</w:t>
        </w:r>
        <w:r w:rsidR="008855B7">
          <w:rPr>
            <w:noProof/>
            <w:webHidden/>
          </w:rPr>
          <w:tab/>
        </w:r>
        <w:r w:rsidR="008855B7">
          <w:rPr>
            <w:noProof/>
            <w:webHidden/>
          </w:rPr>
          <w:fldChar w:fldCharType="begin"/>
        </w:r>
        <w:r w:rsidR="008855B7">
          <w:rPr>
            <w:noProof/>
            <w:webHidden/>
          </w:rPr>
          <w:instrText xml:space="preserve"> PAGEREF _Toc81161304 \h </w:instrText>
        </w:r>
        <w:r w:rsidR="008855B7">
          <w:rPr>
            <w:noProof/>
            <w:webHidden/>
          </w:rPr>
        </w:r>
        <w:r w:rsidR="008855B7">
          <w:rPr>
            <w:noProof/>
            <w:webHidden/>
          </w:rPr>
          <w:fldChar w:fldCharType="separate"/>
        </w:r>
        <w:r w:rsidR="008855B7">
          <w:rPr>
            <w:noProof/>
            <w:webHidden/>
          </w:rPr>
          <w:t>37</w:t>
        </w:r>
        <w:r w:rsidR="008855B7">
          <w:rPr>
            <w:noProof/>
            <w:webHidden/>
          </w:rPr>
          <w:fldChar w:fldCharType="end"/>
        </w:r>
      </w:hyperlink>
    </w:p>
    <w:p w:rsidR="008855B7" w:rsidRDefault="00AD2E8F">
      <w:pPr>
        <w:pStyle w:val="TDC3"/>
        <w:tabs>
          <w:tab w:val="right" w:leader="dot" w:pos="8828"/>
        </w:tabs>
        <w:rPr>
          <w:rFonts w:asciiTheme="minorHAnsi" w:eastAsiaTheme="minorEastAsia" w:hAnsiTheme="minorHAnsi" w:cstheme="minorBidi"/>
          <w:noProof/>
          <w:sz w:val="22"/>
          <w:lang w:val="es-CO" w:eastAsia="es-CO" w:bidi="ar-SA"/>
        </w:rPr>
      </w:pPr>
      <w:hyperlink w:anchor="_Toc81161305" w:history="1">
        <w:r w:rsidR="008855B7" w:rsidRPr="00672F92">
          <w:rPr>
            <w:rStyle w:val="Hipervnculo"/>
            <w:noProof/>
          </w:rPr>
          <w:t>2.1.2. La inferencia de nociones</w:t>
        </w:r>
        <w:r w:rsidR="008855B7">
          <w:rPr>
            <w:noProof/>
            <w:webHidden/>
          </w:rPr>
          <w:tab/>
        </w:r>
        <w:r w:rsidR="008855B7">
          <w:rPr>
            <w:noProof/>
            <w:webHidden/>
          </w:rPr>
          <w:fldChar w:fldCharType="begin"/>
        </w:r>
        <w:r w:rsidR="008855B7">
          <w:rPr>
            <w:noProof/>
            <w:webHidden/>
          </w:rPr>
          <w:instrText xml:space="preserve"> PAGEREF _Toc81161305 \h </w:instrText>
        </w:r>
        <w:r w:rsidR="008855B7">
          <w:rPr>
            <w:noProof/>
            <w:webHidden/>
          </w:rPr>
        </w:r>
        <w:r w:rsidR="008855B7">
          <w:rPr>
            <w:noProof/>
            <w:webHidden/>
          </w:rPr>
          <w:fldChar w:fldCharType="separate"/>
        </w:r>
        <w:r w:rsidR="008855B7">
          <w:rPr>
            <w:noProof/>
            <w:webHidden/>
          </w:rPr>
          <w:t>42</w:t>
        </w:r>
        <w:r w:rsidR="008855B7">
          <w:rPr>
            <w:noProof/>
            <w:webHidden/>
          </w:rPr>
          <w:fldChar w:fldCharType="end"/>
        </w:r>
      </w:hyperlink>
    </w:p>
    <w:p w:rsidR="008855B7" w:rsidRDefault="00AD2E8F">
      <w:pPr>
        <w:pStyle w:val="TDC1"/>
        <w:tabs>
          <w:tab w:val="right" w:leader="dot" w:pos="8828"/>
        </w:tabs>
        <w:rPr>
          <w:rFonts w:asciiTheme="minorHAnsi" w:eastAsiaTheme="minorEastAsia" w:hAnsiTheme="minorHAnsi" w:cstheme="minorBidi"/>
          <w:noProof/>
          <w:sz w:val="22"/>
          <w:lang w:val="es-CO" w:eastAsia="es-CO" w:bidi="ar-SA"/>
        </w:rPr>
      </w:pPr>
      <w:hyperlink w:anchor="_Toc81161306" w:history="1">
        <w:r w:rsidR="008855B7" w:rsidRPr="00672F92">
          <w:rPr>
            <w:rStyle w:val="Hipervnculo"/>
            <w:noProof/>
          </w:rPr>
          <w:t>3.  FORMALIZACIÓN  LÓGICA  DE LO RAZONABLE</w:t>
        </w:r>
        <w:r w:rsidR="008855B7">
          <w:rPr>
            <w:noProof/>
            <w:webHidden/>
          </w:rPr>
          <w:tab/>
        </w:r>
        <w:r w:rsidR="008855B7">
          <w:rPr>
            <w:noProof/>
            <w:webHidden/>
          </w:rPr>
          <w:fldChar w:fldCharType="begin"/>
        </w:r>
        <w:r w:rsidR="008855B7">
          <w:rPr>
            <w:noProof/>
            <w:webHidden/>
          </w:rPr>
          <w:instrText xml:space="preserve"> PAGEREF _Toc81161306 \h </w:instrText>
        </w:r>
        <w:r w:rsidR="008855B7">
          <w:rPr>
            <w:noProof/>
            <w:webHidden/>
          </w:rPr>
        </w:r>
        <w:r w:rsidR="008855B7">
          <w:rPr>
            <w:noProof/>
            <w:webHidden/>
          </w:rPr>
          <w:fldChar w:fldCharType="separate"/>
        </w:r>
        <w:r w:rsidR="008855B7">
          <w:rPr>
            <w:noProof/>
            <w:webHidden/>
          </w:rPr>
          <w:t>47</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307" w:history="1">
        <w:r w:rsidR="008855B7" w:rsidRPr="00672F92">
          <w:rPr>
            <w:rStyle w:val="Hipervnculo"/>
            <w:noProof/>
          </w:rPr>
          <w:t>3.1. LA LÓGICA COMPRENSIVA Y SUS INFERENCIAS: LÓGICA DE “POSIBLES”</w:t>
        </w:r>
        <w:r w:rsidR="008855B7">
          <w:rPr>
            <w:noProof/>
            <w:webHidden/>
          </w:rPr>
          <w:tab/>
        </w:r>
        <w:r w:rsidR="008855B7">
          <w:rPr>
            <w:noProof/>
            <w:webHidden/>
          </w:rPr>
          <w:fldChar w:fldCharType="begin"/>
        </w:r>
        <w:r w:rsidR="008855B7">
          <w:rPr>
            <w:noProof/>
            <w:webHidden/>
          </w:rPr>
          <w:instrText xml:space="preserve"> PAGEREF _Toc81161307 \h </w:instrText>
        </w:r>
        <w:r w:rsidR="008855B7">
          <w:rPr>
            <w:noProof/>
            <w:webHidden/>
          </w:rPr>
        </w:r>
        <w:r w:rsidR="008855B7">
          <w:rPr>
            <w:noProof/>
            <w:webHidden/>
          </w:rPr>
          <w:fldChar w:fldCharType="separate"/>
        </w:r>
        <w:r w:rsidR="008855B7">
          <w:rPr>
            <w:noProof/>
            <w:webHidden/>
          </w:rPr>
          <w:t>52</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308" w:history="1">
        <w:r w:rsidR="008855B7" w:rsidRPr="00672F92">
          <w:rPr>
            <w:rStyle w:val="Hipervnculo"/>
            <w:noProof/>
          </w:rPr>
          <w:t>3.2. EXPRESIÓN FORMAL DE ENUNCIADOS POSIBLES</w:t>
        </w:r>
        <w:r w:rsidR="008855B7">
          <w:rPr>
            <w:noProof/>
            <w:webHidden/>
          </w:rPr>
          <w:tab/>
        </w:r>
        <w:r w:rsidR="008855B7">
          <w:rPr>
            <w:noProof/>
            <w:webHidden/>
          </w:rPr>
          <w:fldChar w:fldCharType="begin"/>
        </w:r>
        <w:r w:rsidR="008855B7">
          <w:rPr>
            <w:noProof/>
            <w:webHidden/>
          </w:rPr>
          <w:instrText xml:space="preserve"> PAGEREF _Toc81161308 \h </w:instrText>
        </w:r>
        <w:r w:rsidR="008855B7">
          <w:rPr>
            <w:noProof/>
            <w:webHidden/>
          </w:rPr>
        </w:r>
        <w:r w:rsidR="008855B7">
          <w:rPr>
            <w:noProof/>
            <w:webHidden/>
          </w:rPr>
          <w:fldChar w:fldCharType="separate"/>
        </w:r>
        <w:r w:rsidR="008855B7">
          <w:rPr>
            <w:noProof/>
            <w:webHidden/>
          </w:rPr>
          <w:t>58</w:t>
        </w:r>
        <w:r w:rsidR="008855B7">
          <w:rPr>
            <w:noProof/>
            <w:webHidden/>
          </w:rPr>
          <w:fldChar w:fldCharType="end"/>
        </w:r>
      </w:hyperlink>
    </w:p>
    <w:p w:rsidR="008855B7" w:rsidRDefault="00AD2E8F">
      <w:pPr>
        <w:pStyle w:val="TDC3"/>
        <w:tabs>
          <w:tab w:val="right" w:leader="dot" w:pos="8828"/>
        </w:tabs>
        <w:rPr>
          <w:rFonts w:asciiTheme="minorHAnsi" w:eastAsiaTheme="minorEastAsia" w:hAnsiTheme="minorHAnsi" w:cstheme="minorBidi"/>
          <w:noProof/>
          <w:sz w:val="22"/>
          <w:lang w:val="es-CO" w:eastAsia="es-CO" w:bidi="ar-SA"/>
        </w:rPr>
      </w:pPr>
      <w:hyperlink w:anchor="_Toc81161309" w:history="1">
        <w:r w:rsidR="008855B7" w:rsidRPr="00672F92">
          <w:rPr>
            <w:rStyle w:val="Hipervnculo"/>
            <w:noProof/>
          </w:rPr>
          <w:t>3.2.1. Modelo de inferencia de necessitudo</w:t>
        </w:r>
        <w:r w:rsidR="008855B7">
          <w:rPr>
            <w:noProof/>
            <w:webHidden/>
          </w:rPr>
          <w:tab/>
        </w:r>
        <w:r w:rsidR="008855B7">
          <w:rPr>
            <w:noProof/>
            <w:webHidden/>
          </w:rPr>
          <w:fldChar w:fldCharType="begin"/>
        </w:r>
        <w:r w:rsidR="008855B7">
          <w:rPr>
            <w:noProof/>
            <w:webHidden/>
          </w:rPr>
          <w:instrText xml:space="preserve"> PAGEREF _Toc81161309 \h </w:instrText>
        </w:r>
        <w:r w:rsidR="008855B7">
          <w:rPr>
            <w:noProof/>
            <w:webHidden/>
          </w:rPr>
        </w:r>
        <w:r w:rsidR="008855B7">
          <w:rPr>
            <w:noProof/>
            <w:webHidden/>
          </w:rPr>
          <w:fldChar w:fldCharType="separate"/>
        </w:r>
        <w:r w:rsidR="008855B7">
          <w:rPr>
            <w:noProof/>
            <w:webHidden/>
          </w:rPr>
          <w:t>58</w:t>
        </w:r>
        <w:r w:rsidR="008855B7">
          <w:rPr>
            <w:noProof/>
            <w:webHidden/>
          </w:rPr>
          <w:fldChar w:fldCharType="end"/>
        </w:r>
      </w:hyperlink>
    </w:p>
    <w:p w:rsidR="008855B7" w:rsidRDefault="00AD2E8F">
      <w:pPr>
        <w:pStyle w:val="TDC2"/>
        <w:tabs>
          <w:tab w:val="right" w:leader="dot" w:pos="8828"/>
        </w:tabs>
        <w:rPr>
          <w:rFonts w:asciiTheme="minorHAnsi" w:eastAsiaTheme="minorEastAsia" w:hAnsiTheme="minorHAnsi" w:cstheme="minorBidi"/>
          <w:noProof/>
          <w:sz w:val="22"/>
          <w:lang w:val="es-CO" w:eastAsia="es-CO" w:bidi="ar-SA"/>
        </w:rPr>
      </w:pPr>
      <w:hyperlink w:anchor="_Toc81161310" w:history="1">
        <w:r w:rsidR="008855B7" w:rsidRPr="00672F92">
          <w:rPr>
            <w:rStyle w:val="Hipervnculo"/>
            <w:noProof/>
          </w:rPr>
          <w:t>3.3. EL LENGUAJE JURÍDICO Y LA LÓGICA DE  LO  PROBABLE:</w:t>
        </w:r>
        <w:r w:rsidR="008855B7">
          <w:rPr>
            <w:noProof/>
            <w:webHidden/>
          </w:rPr>
          <w:tab/>
        </w:r>
        <w:r w:rsidR="008855B7">
          <w:rPr>
            <w:noProof/>
            <w:webHidden/>
          </w:rPr>
          <w:fldChar w:fldCharType="begin"/>
        </w:r>
        <w:r w:rsidR="008855B7">
          <w:rPr>
            <w:noProof/>
            <w:webHidden/>
          </w:rPr>
          <w:instrText xml:space="preserve"> PAGEREF _Toc81161310 \h </w:instrText>
        </w:r>
        <w:r w:rsidR="008855B7">
          <w:rPr>
            <w:noProof/>
            <w:webHidden/>
          </w:rPr>
        </w:r>
        <w:r w:rsidR="008855B7">
          <w:rPr>
            <w:noProof/>
            <w:webHidden/>
          </w:rPr>
          <w:fldChar w:fldCharType="separate"/>
        </w:r>
        <w:r w:rsidR="008855B7">
          <w:rPr>
            <w:noProof/>
            <w:webHidden/>
          </w:rPr>
          <w:t>64</w:t>
        </w:r>
        <w:r w:rsidR="008855B7">
          <w:rPr>
            <w:noProof/>
            <w:webHidden/>
          </w:rPr>
          <w:fldChar w:fldCharType="end"/>
        </w:r>
      </w:hyperlink>
    </w:p>
    <w:p w:rsidR="008855B7" w:rsidRDefault="008855B7" w:rsidP="008855B7">
      <w:pPr>
        <w:pStyle w:val="TDC2"/>
        <w:tabs>
          <w:tab w:val="right" w:leader="dot" w:pos="8828"/>
        </w:tabs>
      </w:pPr>
      <w:r>
        <w:fldChar w:fldCharType="end"/>
      </w:r>
    </w:p>
    <w:p w:rsidR="008855B7" w:rsidRDefault="008855B7">
      <w:pPr>
        <w:widowControl/>
        <w:autoSpaceDE/>
        <w:autoSpaceDN/>
        <w:spacing w:after="200" w:line="276" w:lineRule="auto"/>
        <w:rPr>
          <w:b/>
          <w:sz w:val="32"/>
          <w:szCs w:val="60"/>
        </w:rPr>
      </w:pPr>
      <w:r>
        <w:br w:type="page"/>
      </w:r>
    </w:p>
    <w:p w:rsidR="00B81921" w:rsidRDefault="00B81921" w:rsidP="00B81921">
      <w:pPr>
        <w:pStyle w:val="Ttulo1"/>
      </w:pPr>
      <w:bookmarkStart w:id="2" w:name="_Toc81161292"/>
      <w:r>
        <w:lastRenderedPageBreak/>
        <w:t>Presentación</w:t>
      </w:r>
      <w:bookmarkEnd w:id="2"/>
    </w:p>
    <w:p w:rsidR="00B81921" w:rsidRDefault="00B81921" w:rsidP="00B81921">
      <w:r>
        <w:t>En este cuaderno de trabajo está agazapado un verdadero tratado sobre el uso del lenguaje jurídico. A esa conclusión llegamos después de leer este clarificador ensayo de Juan Abelardo Hernández Franco acerca de los sentidos lógicos que pueden advertirse en el lenguaje jurídico. El análisis que nos presenta en forma resumida, condensa las preocupaciones que se tienen para entender el complejo proceso de comprensión que lleva a cabo el operador jurídico para dotar de significados a los fenómenos que le son afines y de interés.</w:t>
      </w:r>
    </w:p>
    <w:p w:rsidR="00B81921" w:rsidRDefault="00B81921" w:rsidP="00B81921">
      <w:r>
        <w:t>Para la Escuela Judicial es más que acertada la realización y difusión de trabajos en torno al  análisis  del  uso  del  lenguaje  jurídico,  por  constituir  la  materia  prima  en  el entendimiento cabal de la forma en que se razona y justifican las decisiones judiciales. Máxime que ello se verá reflejado en la sentencia, instrumento final en el cual se visibiliza la  función  judicial. Este  vínculo  entre  derecho-justicia  y  lenguaje, que a  veces queda apenas reducido a ley y lenguaje, merece mayor tratamiento para alcanzar los niveles de excelencia en la función que lleva a cabo el Poder Judicial de la Federación.</w:t>
      </w:r>
    </w:p>
    <w:p w:rsidR="00B81921" w:rsidRDefault="00B81921" w:rsidP="00B81921">
      <w:r>
        <w:t xml:space="preserve">Seguramente en otra ocasión habrá oportunidad de referirse a lo que Cazorla Prieto nos ha referido acerca del lenguaje jurídico, que se ha visto más desde una perspectiva negativa, a saber: que es un lenguaje con tendencias y rescoldos demiúrgicos y arcanos; que es un lenguaje   </w:t>
      </w:r>
      <w:r>
        <w:lastRenderedPageBreak/>
        <w:t>especial   y   especializado;   que   tiende   a   ser   sobrecargado   y   apelmazado, conservador con tendencia al inmovilismo, pluriforme, entre otras características.</w:t>
      </w:r>
      <w:r>
        <w:rPr>
          <w:rStyle w:val="Refdenotaalpie"/>
        </w:rPr>
        <w:footnoteReference w:id="1"/>
      </w:r>
    </w:p>
    <w:p w:rsidR="00B81921" w:rsidRDefault="00B81921" w:rsidP="00B81921">
      <w:r>
        <w:t>El mundo jurídico se cimenta en el lenguaje. Sus expresiones pueden ser lo mismo la manifestación de voluntades en un contrato, que la declaración de voluntad de un testador, la denuncia de una víctima o la declaración de un testigo, el dictamen de un funcionario, el protocolo de un notario, la petición de un ciudadano, o, especialmente, la sentencia de un juzgador.   Por encima de todo el Derecho es Lenguaje y al juzgador, en ejercicio de la jurisdicción, le corresponde decir el Derecho, y decirlo solo puede hacerse a través del lenguaje.</w:t>
      </w:r>
    </w:p>
    <w:p w:rsidR="00B81921" w:rsidRDefault="00B81921" w:rsidP="00B81921">
      <w:r>
        <w:t>Y en el sentido que nos refiere el trabajo que aquí se presenta, las sentencias reflejan el razonamiento jurídico, el juicio, que llevan a cabo los juzgadores, de ahí la importancia de abundar en la forma en que se construye ese juicio. Para ello, las reflexiones que nos permite este cuaderno de trabajo resultan importantes, especialmente para quienes tienen encomiendas  jurisdiccionales  o,  en  general,  quienes  tienen  en  su  labor  cotidiana  que realizar ejercicios de razonamiento jurídico.</w:t>
      </w:r>
    </w:p>
    <w:p w:rsidR="00B81921" w:rsidRDefault="00B81921" w:rsidP="00B81921">
      <w:r>
        <w:t xml:space="preserve">Mucho se ha escrito en torno a la necesidad de que las sentencias, en todos los niveles, no sean farragosas, mal escritas, oscuras, retorcidas o </w:t>
      </w:r>
      <w:r>
        <w:lastRenderedPageBreak/>
        <w:t xml:space="preserve">solo </w:t>
      </w:r>
      <w:r w:rsidR="008324E9">
        <w:t>inteligibles para unos cuantos.</w:t>
      </w:r>
      <w:r w:rsidR="008324E9">
        <w:rPr>
          <w:rStyle w:val="Refdenotaalpie"/>
        </w:rPr>
        <w:footnoteReference w:id="2"/>
      </w:r>
    </w:p>
    <w:p w:rsidR="00B81921" w:rsidRDefault="00B81921" w:rsidP="00B81921">
      <w:r>
        <w:t>Igual  sucede  tratándose  de  otras  producciones  jurídicas  como  leyes,  jurisprudencias,</w:t>
      </w:r>
      <w:r w:rsidR="008324E9">
        <w:t xml:space="preserve"> </w:t>
      </w:r>
      <w:r>
        <w:t>reglamentos, etcétera. Por ello, la reflexión que nos aporta el autor, que trasciende el mero uso de los conceptos o nociones, nos permite advertir cómo el contexto personal e institucional puede influir en el razonamiento y por ello se hace necesario que ese contexto se  enriquezca,  que  los  operadores  jurídicos  cuenten  con  un  mayor  bagaje  cultural  y jurídico.</w:t>
      </w:r>
    </w:p>
    <w:p w:rsidR="00B81921" w:rsidRDefault="00B81921" w:rsidP="00B81921">
      <w:r>
        <w:t>En esa labor de enriquecimiento cultural y jurídico, la Escuela Judicial juega un papel importante, pues su misión es la de contribuir al perfeccionamiento de profesionales del Derecho, a través de la creación y transmisión del conocimiento y cultura jurídicos, para ejercer funciones jurisdiccionales con sentido analítico, crítico, creativo e innovador, y solucionar   problemas   mediante   la   correcta   aplicación   del   ordenamiento   jurídico. Esperamos que este cuaderno de trabajo contribuya a tales propósitos.</w:t>
      </w:r>
    </w:p>
    <w:p w:rsidR="00B81921" w:rsidRDefault="00B81921" w:rsidP="00B81921">
      <w:r>
        <w:t>LOS COORDINADORES</w:t>
      </w:r>
    </w:p>
    <w:p w:rsidR="00B81921" w:rsidRDefault="00B81921" w:rsidP="00B81921">
      <w:r>
        <w:t>Octubre de 2014</w:t>
      </w:r>
    </w:p>
    <w:p w:rsidR="00B81921" w:rsidRDefault="00B81921" w:rsidP="00B81921">
      <w:r>
        <w:t>Juan Abelardo HERNÁNDEZ FRANCO</w:t>
      </w:r>
    </w:p>
    <w:p w:rsidR="008324E9" w:rsidRDefault="008324E9">
      <w:pPr>
        <w:widowControl/>
        <w:autoSpaceDE/>
        <w:autoSpaceDN/>
        <w:spacing w:after="200" w:line="276" w:lineRule="auto"/>
        <w:rPr>
          <w:b/>
          <w:sz w:val="32"/>
          <w:szCs w:val="60"/>
        </w:rPr>
      </w:pPr>
      <w:r>
        <w:br w:type="page"/>
      </w:r>
    </w:p>
    <w:p w:rsidR="00B81921" w:rsidRDefault="00B81921" w:rsidP="008324E9">
      <w:pPr>
        <w:pStyle w:val="Ttulo1"/>
      </w:pPr>
      <w:bookmarkStart w:id="3" w:name="_Toc81161293"/>
      <w:r>
        <w:lastRenderedPageBreak/>
        <w:t>Introducción</w:t>
      </w:r>
      <w:bookmarkEnd w:id="3"/>
    </w:p>
    <w:p w:rsidR="00B81921" w:rsidRDefault="00B81921" w:rsidP="00B81921">
      <w:r>
        <w:t>Es claro que la primera operación del razonamiento judicial –al igual que la del resto de las profesiones jurídicas- no es ni un silogismo ni cualquier forma mecánica sistemática.  Los  expertos  en  derecho, ante un problema expuesto acuden, en un primer momento, a un bagaje de experiencia acumulada a lo largo de los años. Diríamos que sus respuestas en primer lugar son conjeturas o hipótesis presentadas de forma narrativa, fundadas en su propia experiencia. Sus primeros planteamientos son respuestas producto de operaciones heurísticas o prudenciales. Es decir, su mente indaga de manera interna compleja las posibles respuestas que, con base en su experiencia, podrían resolver lo planteado. Ahora bien, las conjeturas o hipótesis que se enuncian para resolver un problema jurídico -en principio-  tienen  carácter  de  verosímil. Es decir, parecen muy acertadas y correctas adecuadamente. Sin embargo es posible echar mano de un conjunto de herramientas que permiten, de manera formal,  verificar  la  veracidad  y coherencia de lo enunciado por los expertos en derecho. Este conjunto de herramientas reciben el nombre e lógica. Son mecanismo que auxilian al razonamiento judicial a identificar la coherencia de los planteamientos de las partes en un juicio. También son herramientas que permiten verificar el orden y coherencia de las propias ideas.</w:t>
      </w:r>
    </w:p>
    <w:p w:rsidR="00B81921" w:rsidRDefault="00B81921" w:rsidP="00B81921">
      <w:r>
        <w:t xml:space="preserve"> </w:t>
      </w:r>
    </w:p>
    <w:p w:rsidR="00B81921" w:rsidRDefault="00B81921" w:rsidP="00B81921">
      <w:r>
        <w:lastRenderedPageBreak/>
        <w:t>Con el fin de proporcionar una herramienta útil y de fácil comprensión a los operadores judiciales, se elaboró el presente cuaderno de trabajo. Primero se expone,   entre   los   diversos   modelos lógicos   existentes,   cuál   es   el   más adecuado para la labor jurídica. En segundo lugar se  señalan las bases  y los fundamentos de operación de tal lógica. Finalmente se enseña una sencilla herramienta   formal   para   operar   de manera rápida y efectiva la coherencia de los razonamientos jurídicos. El objeto de este cuaderno no es elaborar un complejo tratado de lógica. Es, tan sólo, brindar a los operadores jurídicos una herramienta de uso inmediato y sencillo de tipo lógico.</w:t>
      </w:r>
    </w:p>
    <w:p w:rsidR="008324E9" w:rsidRDefault="008324E9">
      <w:pPr>
        <w:widowControl/>
        <w:autoSpaceDE/>
        <w:autoSpaceDN/>
        <w:spacing w:after="200" w:line="276" w:lineRule="auto"/>
      </w:pPr>
      <w:r>
        <w:br w:type="page"/>
      </w:r>
    </w:p>
    <w:p w:rsidR="00B81921" w:rsidRDefault="00B81921" w:rsidP="008324E9">
      <w:pPr>
        <w:pStyle w:val="Ttulo1"/>
      </w:pPr>
      <w:bookmarkStart w:id="4" w:name="_Toc81161294"/>
      <w:r>
        <w:lastRenderedPageBreak/>
        <w:t>1. RAZONAMIENTO LEGAL Y LA LÓGICA COMPRENSIVA</w:t>
      </w:r>
      <w:bookmarkEnd w:id="4"/>
    </w:p>
    <w:p w:rsidR="00B81921" w:rsidRDefault="00B81921" w:rsidP="008324E9">
      <w:pPr>
        <w:pStyle w:val="Ttulo2"/>
      </w:pPr>
      <w:bookmarkStart w:id="5" w:name="_Toc81161295"/>
      <w:r>
        <w:t>1.1. LEG: ORIGEN ETIMOLÓGICO COMÚN DE “LÓGICA” Y “LEGAL”</w:t>
      </w:r>
      <w:bookmarkEnd w:id="5"/>
    </w:p>
    <w:p w:rsidR="00B81921" w:rsidRDefault="00B81921" w:rsidP="00B81921">
      <w:r>
        <w:t>La palabra lógica (λογική) encuentra su origen etimológico en el vocablo griego lego que significa recoger, reunir, juntar, contar. El término a su vez derivó del indoeuropeo  leg  que  significa p</w:t>
      </w:r>
      <w:r w:rsidR="008324E9">
        <w:t>recisamente  eso: recolectar.</w:t>
      </w:r>
      <w:r w:rsidR="008324E9">
        <w:rPr>
          <w:rStyle w:val="Refdenotaalpie"/>
        </w:rPr>
        <w:footnoteReference w:id="3"/>
      </w:r>
      <w:r>
        <w:t xml:space="preserve"> La  lógica es un considerar (o calcular) combinando elementos recolectados de cierto modo. </w:t>
      </w:r>
      <w:r w:rsidRPr="008324E9">
        <w:rPr>
          <w:lang w:val="es-CO"/>
        </w:rPr>
        <w:t xml:space="preserve">De ahí   que   se   use   el   término   silogismo </w:t>
      </w:r>
      <w:r>
        <w:t xml:space="preserve">relacionado con la lógica. “Silogismo” en nuestro idioma significa: “resultar algo a partir de </w:t>
      </w:r>
      <w:r w:rsidR="008324E9">
        <w:t xml:space="preserve">  juntar o componer elementos”.</w:t>
      </w:r>
      <w:r w:rsidR="008324E9">
        <w:rPr>
          <w:rStyle w:val="Refdenotaalpie"/>
        </w:rPr>
        <w:footnoteReference w:id="4"/>
      </w:r>
    </w:p>
    <w:p w:rsidR="00B81921" w:rsidRDefault="00B81921" w:rsidP="00B81921">
      <w:r>
        <w:t>Esto es lo que llamamos</w:t>
      </w:r>
      <w:r w:rsidR="008324E9">
        <w:t>: razonamiento.</w:t>
      </w:r>
      <w:r w:rsidR="008324E9">
        <w:rPr>
          <w:rStyle w:val="Refdenotaalpie"/>
        </w:rPr>
        <w:footnoteReference w:id="5"/>
      </w:r>
    </w:p>
    <w:p w:rsidR="00B81921" w:rsidRDefault="00B81921" w:rsidP="00B81921">
      <w:r>
        <w:t>Esta operación se encuentra vinculada directamente al quehacer jurídico ya que</w:t>
      </w:r>
      <w:r w:rsidR="008324E9">
        <w:t xml:space="preserve"> </w:t>
      </w:r>
      <w:r>
        <w:t xml:space="preserve">la voz indoeuropea Leg también es el origen de palabras como legal, legítimo, legislador y lex. De ahí que se hable de razonamiento legal como una forma propia de lógica. El razonamiento legal es también un reunir elementos, ponderarlos y calcularlos de cierta manera, para </w:t>
      </w:r>
      <w:r>
        <w:lastRenderedPageBreak/>
        <w:t>dar a cada quien lo que le es debido en un asunto. Ahora bien ¿cuántas formas existen de reunir ideas y resultar algo de ellas? ¿En el campo del derecho existe una sola forma o hay varias? Para poder responder a estas preguntas debemos distinguir primero la lógica tradicional  que  han  empleado  los filósofos y los matemáticos, de la lógica propia de las ciencias sociales y la adecuada  al  derecho.  A  la  lógica filosófico-matemática la denominaremos “lógica formal analítica” mientras que a la lógica de las ciencias sociales –en la que se encuentra el derecho- la llamaremos lógica comprensiva o de lo razonable.</w:t>
      </w:r>
    </w:p>
    <w:p w:rsidR="00B81921" w:rsidRDefault="00B81921" w:rsidP="008324E9">
      <w:pPr>
        <w:pStyle w:val="Ttulo2"/>
      </w:pPr>
      <w:bookmarkStart w:id="6" w:name="_Toc81161296"/>
      <w:r>
        <w:t>1.2 LÓGICA DE LO RAZONABLE Y LÓGICA FORMAL ANALÍTICA</w:t>
      </w:r>
      <w:bookmarkEnd w:id="6"/>
    </w:p>
    <w:p w:rsidR="00B81921" w:rsidRDefault="00B81921" w:rsidP="00B81921">
      <w:r>
        <w:t>Resumen:</w:t>
      </w:r>
    </w:p>
    <w:p w:rsidR="00B81921" w:rsidRDefault="00B81921" w:rsidP="00B81921">
      <w:r>
        <w:t>Lógica Formal Analítica</w:t>
      </w:r>
    </w:p>
    <w:p w:rsidR="00B81921" w:rsidRDefault="00B81921" w:rsidP="00C63ED2">
      <w:pPr>
        <w:pStyle w:val="Prrafodelista"/>
        <w:numPr>
          <w:ilvl w:val="0"/>
          <w:numId w:val="3"/>
        </w:numPr>
      </w:pPr>
      <w:r>
        <w:t>La lógica formal analítica opera mediante conceptos.</w:t>
      </w:r>
    </w:p>
    <w:p w:rsidR="00B81921" w:rsidRDefault="00B81921" w:rsidP="00C63ED2">
      <w:pPr>
        <w:pStyle w:val="Prrafodelista"/>
        <w:numPr>
          <w:ilvl w:val="0"/>
          <w:numId w:val="3"/>
        </w:numPr>
      </w:pPr>
      <w:r>
        <w:t>Los conceptos son términos cuyo contenido</w:t>
      </w:r>
      <w:r w:rsidR="008324E9">
        <w:t xml:space="preserve"> </w:t>
      </w:r>
      <w:r>
        <w:t>es</w:t>
      </w:r>
      <w:r w:rsidR="008324E9">
        <w:t xml:space="preserve"> </w:t>
      </w:r>
      <w:r>
        <w:t>autorreferente. Esto quiere decir que su contenido</w:t>
      </w:r>
      <w:r w:rsidR="00C63ED2">
        <w:t xml:space="preserve"> </w:t>
      </w:r>
      <w:r>
        <w:t>se</w:t>
      </w:r>
      <w:r w:rsidR="00C63ED2">
        <w:t xml:space="preserve"> i</w:t>
      </w:r>
      <w:r>
        <w:t>dentifica directamente con un concepto específico. Por ejemplo el número Pi, siempre hace referencia a la secuencia que inicia</w:t>
      </w:r>
      <w:r w:rsidR="00C63ED2">
        <w:t xml:space="preserve"> </w:t>
      </w:r>
      <w:r>
        <w:t>con</w:t>
      </w:r>
      <w:r w:rsidR="00C63ED2">
        <w:t xml:space="preserve"> </w:t>
      </w:r>
      <w:r>
        <w:t>los números</w:t>
      </w:r>
      <w:r w:rsidR="00C63ED2">
        <w:t xml:space="preserve"> </w:t>
      </w:r>
      <w:r>
        <w:t>3.1416…. Cuando se dice “ángulo recto” siempre estamos haciendo referencia a un ángulo de 90º.</w:t>
      </w:r>
    </w:p>
    <w:p w:rsidR="00B81921" w:rsidRDefault="00B81921" w:rsidP="00C63ED2">
      <w:pPr>
        <w:pStyle w:val="Prrafodelista"/>
        <w:numPr>
          <w:ilvl w:val="0"/>
          <w:numId w:val="3"/>
        </w:numPr>
      </w:pPr>
      <w:r>
        <w:t>Los   términos   autorreferentes son:</w:t>
      </w:r>
    </w:p>
    <w:p w:rsidR="00B81921" w:rsidRDefault="00B81921" w:rsidP="00B81921">
      <w:r>
        <w:t xml:space="preserve">• Externos objetivos: Todos los que los perciben, los perciben de la </w:t>
      </w:r>
      <w:r>
        <w:lastRenderedPageBreak/>
        <w:t>misma manera.</w:t>
      </w:r>
    </w:p>
    <w:p w:rsidR="00B81921" w:rsidRDefault="00B81921" w:rsidP="00B81921">
      <w:r>
        <w:t>• Invariables  o  atemporales: Se</w:t>
      </w:r>
      <w:r>
        <w:tab/>
        <w:t>aplican</w:t>
      </w:r>
      <w:r w:rsidR="005329DE">
        <w:t xml:space="preserve"> </w:t>
      </w:r>
      <w:r>
        <w:t>igual</w:t>
      </w:r>
      <w:r w:rsidR="005329DE">
        <w:t xml:space="preserve"> </w:t>
      </w:r>
      <w:r>
        <w:t>en cualquier tiempo.</w:t>
      </w:r>
    </w:p>
    <w:p w:rsidR="00B81921" w:rsidRDefault="00B81921" w:rsidP="00B81921">
      <w:r>
        <w:t>• Universales o absolutas: Se aplican en todos los casos de la misma manera.</w:t>
      </w:r>
    </w:p>
    <w:p w:rsidR="00B81921" w:rsidRDefault="00B81921" w:rsidP="00B81921">
      <w:r>
        <w:t xml:space="preserve">Lógica Comprensiva o de </w:t>
      </w:r>
      <w:r w:rsidR="00C63ED2">
        <w:t xml:space="preserve">lo </w:t>
      </w:r>
      <w:r>
        <w:t>Razonable</w:t>
      </w:r>
    </w:p>
    <w:p w:rsidR="00B81921" w:rsidRDefault="00B81921" w:rsidP="00C63ED2">
      <w:pPr>
        <w:pStyle w:val="Prrafodelista"/>
        <w:numPr>
          <w:ilvl w:val="0"/>
          <w:numId w:val="1"/>
        </w:numPr>
      </w:pPr>
      <w:r>
        <w:t>La lógica comprensiva o de lo razonable opera mediante nociones.</w:t>
      </w:r>
    </w:p>
    <w:p w:rsidR="00B81921" w:rsidRDefault="00B81921" w:rsidP="00C63ED2">
      <w:pPr>
        <w:pStyle w:val="Prrafodelista"/>
        <w:numPr>
          <w:ilvl w:val="0"/>
          <w:numId w:val="1"/>
        </w:numPr>
      </w:pPr>
      <w:r>
        <w:t>Las</w:t>
      </w:r>
      <w:r w:rsidR="005329DE">
        <w:t xml:space="preserve"> </w:t>
      </w:r>
      <w:r>
        <w:t>nociones</w:t>
      </w:r>
      <w:r w:rsidR="005329DE">
        <w:t xml:space="preserve"> </w:t>
      </w:r>
      <w:r>
        <w:t>no</w:t>
      </w:r>
      <w:r w:rsidR="005329DE">
        <w:t xml:space="preserve"> </w:t>
      </w:r>
      <w:r>
        <w:t>tienen contenidos</w:t>
      </w:r>
      <w:r w:rsidR="005329DE">
        <w:t xml:space="preserve"> </w:t>
      </w:r>
      <w:r>
        <w:t xml:space="preserve">autorreferentes, sino contenidos subjetivos y variables  en  un  número limitado de opciones. Esto quiere decir que su contenido depende del sentido que le otorga aquel que lo enuncia. El sentido subjetivo de una noción no es absolutamente abierto. Se encuentra  ubicado  en  un abanico limitado de posibilidades. </w:t>
      </w:r>
    </w:p>
    <w:p w:rsidR="00B81921" w:rsidRDefault="00B81921" w:rsidP="00C63ED2">
      <w:pPr>
        <w:pStyle w:val="Prrafodelista"/>
        <w:numPr>
          <w:ilvl w:val="0"/>
          <w:numId w:val="1"/>
        </w:numPr>
      </w:pPr>
      <w:r>
        <w:t>La subjetividad que brinda sentido  a  una  noción  depende de   la   experiencia   acumulada por aquellos que los emplean. Por ejemplo, “pobreza” o “bien común”</w:t>
      </w:r>
      <w:r>
        <w:tab/>
        <w:t>son</w:t>
      </w:r>
      <w:r w:rsidR="005329DE">
        <w:t xml:space="preserve"> </w:t>
      </w:r>
      <w:r>
        <w:t>términos</w:t>
      </w:r>
      <w:r w:rsidR="005329DE">
        <w:t xml:space="preserve"> </w:t>
      </w:r>
      <w:r>
        <w:t>que varían en orden a la experiencia sobre ellos en distintos lugares y en distintas épocas. No todos entienden y han experimentado la “pobreza” y el “bien común” de la misma manera.</w:t>
      </w:r>
    </w:p>
    <w:p w:rsidR="00B81921" w:rsidRDefault="00B81921" w:rsidP="00C63ED2">
      <w:pPr>
        <w:pStyle w:val="Prrafodelista"/>
        <w:numPr>
          <w:ilvl w:val="0"/>
          <w:numId w:val="1"/>
        </w:numPr>
      </w:pPr>
      <w:r>
        <w:t>La términos de la comprensión contemplan:</w:t>
      </w:r>
    </w:p>
    <w:p w:rsidR="00B81921" w:rsidRDefault="00B81921" w:rsidP="00B81921">
      <w:r>
        <w:t>• Situaciones  internas,  pues son apreciadas y valoradas con la experiencia subjetiva de cada persona.</w:t>
      </w:r>
    </w:p>
    <w:p w:rsidR="00B81921" w:rsidRDefault="00B81921" w:rsidP="00B81921">
      <w:r>
        <w:t xml:space="preserve">• Situaciones  variables  porque son temporales, concretas y </w:t>
      </w:r>
      <w:r>
        <w:lastRenderedPageBreak/>
        <w:t>contingentes.</w:t>
      </w:r>
    </w:p>
    <w:p w:rsidR="00B81921" w:rsidRDefault="00B81921" w:rsidP="00B81921">
      <w:r>
        <w:t>• Definiciones</w:t>
      </w:r>
      <w:r w:rsidR="005329DE">
        <w:t xml:space="preserve"> </w:t>
      </w:r>
      <w:r>
        <w:t>generales: Puede haber características semejantes en los casos observados, pero no idénticas ni constantes de manera específica y concreta.</w:t>
      </w:r>
    </w:p>
    <w:p w:rsidR="00B81921" w:rsidRDefault="00B81921" w:rsidP="00B81921">
      <w:r>
        <w:t>A diferencia de la lógica empleada por los filósofos y los teóricos matemáticos, la lógica jurídica no razona sobre abstracciones absolutas, invariables y universales sino sobre situaciones concretas y contingentes. La lógica que se enseña de forma  tradicional  se  dice  que  es:  de carácter  conceptual;  porque  los  contenidos son autorreferentes a su forma. Ejemplo de ellos  son  las  proposiciones  lógico formales o matemáticas: 2+2=4 o los teoremas matemáticos. Que el contenido sea  autorreferente  a  su forma,  significa que el signo siempre hace referencia a un contenido específico. En matemáticas el número P</w:t>
      </w:r>
      <w:r w:rsidR="00C63ED2">
        <w:t xml:space="preserve">i, siempre hace referencia a la </w:t>
      </w:r>
      <w:r>
        <w:t>secuencia</w:t>
      </w:r>
      <w:r w:rsidR="00C63ED2">
        <w:t>: 3.1416</w:t>
      </w:r>
      <w:r>
        <w:t>…  También,  el  decir que el contenido es autorreferente a su forma equivale a establecer que siempre que se habla de una idea se entenderá cierto contenido específico: Por ejemplo por  “ángulo recto” siempre  se  entiende un   ángulo   de   90º.   Esta   relación   es absoluta y nunca será diferente. Esta idea nunca varía bajo ninguna situación. Por el signo 2 (dos) se refiere a la unidad dos. El valor del término 2 es dos.</w:t>
      </w:r>
    </w:p>
    <w:p w:rsidR="00B81921" w:rsidRDefault="00B81921" w:rsidP="00B81921"/>
    <w:p w:rsidR="00B81921" w:rsidRDefault="00B81921" w:rsidP="00B81921">
      <w:r>
        <w:t xml:space="preserve">Mediante el empleo de la lógica de conceptos se extrae una conclusión </w:t>
      </w:r>
      <w:r>
        <w:lastRenderedPageBreak/>
        <w:t>lógica</w:t>
      </w:r>
      <w:r w:rsidR="00C63ED2">
        <w:t xml:space="preserve"> </w:t>
      </w:r>
      <w:r>
        <w:t>–  de  acuerdo  a  nuestros  hábitos mentales- de un modo “correcto”.</w:t>
      </w:r>
      <w:r w:rsidR="00C63ED2">
        <w:rPr>
          <w:rStyle w:val="Refdenotaalpie"/>
        </w:rPr>
        <w:footnoteReference w:id="6"/>
      </w:r>
      <w:r>
        <w:t xml:space="preserve"> Esa lógica permite explicar claramente aquellas conexiones en operaciones y conductas con un sentido de modo unívoco, diáfano y exhaustivo. Por ejemplo, el afirmar que “todo hombre es mortal” hace referencia a un entendimiento de orden conceptual. Es una enunciación universal y absoluta porque todos los hombres son mortales. No  hay  excepciones. Es  atemporal porque en todos los casos los hombres mueren no importando en qué época o en qué  lugar  estén.  Es  externo  porque  es algo que todos podemos constatar. De la misma   manera   todos   detectamos   la muerte cuando vemos el cese de las funciones vitales.</w:t>
      </w:r>
    </w:p>
    <w:p w:rsidR="00B81921" w:rsidRDefault="00B81921" w:rsidP="00B81921">
      <w:r>
        <w:t>Si enunciamos que “Sócrates es Hombre”, estamos señalando que un individuo llamado Sócrates tiene las cualidades de Hombre. De ahí se puede derivar la idea de que  Sócrates es mortal.</w:t>
      </w:r>
    </w:p>
    <w:p w:rsidR="00B81921" w:rsidRDefault="00B81921" w:rsidP="00B81921">
      <w:r>
        <w:t>Esta lógica de conceptos funciona igual en la matemática. Por ejemplo si enunciamos que: “En todos los triángulos la suma de ángulos internos equivale a</w:t>
      </w:r>
      <w:r w:rsidR="00C63ED2">
        <w:t xml:space="preserve"> </w:t>
      </w:r>
      <w:r>
        <w:t>180º”, estamos haciendo una afirmación</w:t>
      </w:r>
      <w:r w:rsidR="00C63ED2">
        <w:t xml:space="preserve"> </w:t>
      </w:r>
      <w:r>
        <w:t>externa: en todos los triángulos se puede confirmar que la suma es igual. Es atemporal, porque no importa en qué momento ni en qué lugar se lleve a cabo la   suma,   siempre   serán   180º   y;   es absoluto, porque no hay excepciones en ningún triángulo.</w:t>
      </w:r>
    </w:p>
    <w:p w:rsidR="00B81921" w:rsidRDefault="00B81921" w:rsidP="00B81921">
      <w:r>
        <w:lastRenderedPageBreak/>
        <w:t>Si enunciamos que “Escaleno es un triángulo”, estamos señalando que un triángulo particular -cuyos ángulos son todos distintos- tiene las cualidades de Triángulo. De ahí se pude derivar la idea de que en el triángulo Escaleno, la suma interna de sus ángulos equivale a 180º.</w:t>
      </w:r>
    </w:p>
    <w:p w:rsidR="00B81921" w:rsidRDefault="00B81921" w:rsidP="00B81921">
      <w:r>
        <w:t>La lógica del razonamiento jurídico opera de   manera   distinta   a   la   lógica   de conceptos filosóficos o matemáticos. En principio opera mediante enunciados o proposiciones que de suyo no tiene un contenido específico ni son valorativas en sí mismas. Esto suena extraño, pero tiene una razón metodológica que se expondrá en las siguientes líneas. El sentido de los enunciados o proposiciones jurídicas no dependen de la semántica ni de la gramática, sino dependen de la intención del operador de ellas para cobrar un carácter valorativo. Por ejemplo, la sola proposición “me comprometo a pagar la cantidad de $10,000 a Mario R.” no es ni verdadera ni falsa. Sólo será verdadera hasta que aquel que la enuncia se obliga voluntariamente   a   hacerlo.   Podemos decir que tal enunciado es verdadero (o tiene el sentido de verdadero para el promitente) en el momento que se está obligando voluntariamente.</w:t>
      </w:r>
    </w:p>
    <w:p w:rsidR="00B81921" w:rsidRDefault="00C63ED2" w:rsidP="00B81921">
      <w:r>
        <w:t xml:space="preserve">En  este  sentido, </w:t>
      </w:r>
      <w:r w:rsidR="00B81921">
        <w:t>las proposiciones jurídicas incluyen -en su carácter de conocimiento comprensivo- juicios de valor y estimaciones</w:t>
      </w:r>
      <w:r w:rsidR="005329DE">
        <w:t xml:space="preserve"> </w:t>
      </w:r>
      <w:r w:rsidR="00B81921">
        <w:t>variables. Es decir,</w:t>
      </w:r>
      <w:r>
        <w:t xml:space="preserve"> </w:t>
      </w:r>
      <w:r w:rsidR="00B81921">
        <w:t xml:space="preserve">subjetivas vinculadas con situaciones específicas o </w:t>
      </w:r>
      <w:r>
        <w:t>particulares.</w:t>
      </w:r>
      <w:r>
        <w:rPr>
          <w:rStyle w:val="Refdenotaalpie"/>
        </w:rPr>
        <w:footnoteReference w:id="7"/>
      </w:r>
      <w:r w:rsidR="00B81921">
        <w:t xml:space="preserve"> </w:t>
      </w:r>
      <w:r w:rsidR="00B81921">
        <w:lastRenderedPageBreak/>
        <w:t>Esto es así, debido  a  que  la  manera  en  que comprende las operaciones jurídicas, requiere, en gran parte, de un conocimiento de carácter endopático: Incluye afecciones y valores de los individuos vinculados en un asunto de carácter legal. Los términos de contenido variable reciben el nombre de nociones y se distinguen de los conceptos, precisamente en eso; en que sus contenidos son variables, en razón de la carga subjetiva de experiencia que le asignan los operadores jurídicos.</w:t>
      </w:r>
    </w:p>
    <w:p w:rsidR="00B81921" w:rsidRDefault="00B81921" w:rsidP="00B81921">
      <w:r>
        <w:t xml:space="preserve">Cuando un operador jurídico lleva a cabo el  razonamiento legal  incluye  evidencia endopática de los actos, las acciones y los hechos de un asunto concreto. De alguna manera requiere incluir en sus variables a considerar la “conexión de sentimientos y valores” que se vivieron en ella. Por ejemplo, la ley señala que el robo (en general)  debe  ser  sancionado.  Sin embargo   el   operador   judicial   puede medir, por las condiciones del que roba, si el castigo que le aplicará será mayor o menor, en los parámetros que la ley señala. Incluso el operador judicial puede considerar no llevar a cabo sanción alguna. Esa apreciación o “ponderación” se vincula necesariamente a una consideración subjetiva de carácter endopático.  Sólo  mediante  esa apreciación endopática, pueden los operadores judiciales evaluar los factores a considerar en una lógica de razonamiento legal. La aplicación del derecho no puede </w:t>
      </w:r>
      <w:r>
        <w:lastRenderedPageBreak/>
        <w:t>tratarse de un mero aplicar términos legales como si éstos fueran  conceptos, con un único  sentido implícito e</w:t>
      </w:r>
      <w:r w:rsidR="00C63ED2">
        <w:t>n ellos. Y esto es así, por los factores indeterminados</w:t>
      </w:r>
      <w:r>
        <w:t xml:space="preserve"> sin un contenido</w:t>
      </w:r>
      <w:r w:rsidR="00C63ED2">
        <w:t xml:space="preserve"> </w:t>
      </w:r>
      <w:r>
        <w:t>específico autorreferencial. Es decir, los términos que emplea la lógica jurídica tienen</w:t>
      </w:r>
      <w:r w:rsidR="005329DE">
        <w:t xml:space="preserve"> </w:t>
      </w:r>
      <w:r>
        <w:t>una</w:t>
      </w:r>
      <w:r w:rsidR="005329DE">
        <w:t xml:space="preserve"> </w:t>
      </w:r>
      <w:r>
        <w:t>carga</w:t>
      </w:r>
      <w:r w:rsidR="005329DE">
        <w:t xml:space="preserve"> </w:t>
      </w:r>
      <w:r>
        <w:t>de</w:t>
      </w:r>
      <w:r w:rsidR="005329DE">
        <w:t xml:space="preserve"> </w:t>
      </w:r>
      <w:r>
        <w:t>apreciaciones</w:t>
      </w:r>
      <w:r w:rsidR="00C63ED2">
        <w:t xml:space="preserve"> </w:t>
      </w:r>
      <w:r>
        <w:t>tipo de términos empleados en las leyes:</w:t>
      </w:r>
      <w:r w:rsidR="00C63ED2">
        <w:t xml:space="preserve"> </w:t>
      </w:r>
      <w:r>
        <w:t>son nociones cuyo contenido es variable.</w:t>
      </w:r>
    </w:p>
    <w:p w:rsidR="00B81921" w:rsidRDefault="00B81921" w:rsidP="00B81921">
      <w:r>
        <w:t>Hans Kelsen explica de una forma muy clara los límites insuficientes de la lógica formal  analítica  en  los  parámetros propios de la lógica comprensiva.</w:t>
      </w:r>
    </w:p>
    <w:p w:rsidR="00B81921" w:rsidRDefault="00B81921" w:rsidP="00B81921">
      <w:r>
        <w:t xml:space="preserve">Lo   que  existe  no   es   pues   de ninguna manera una relación directa entre la norma general “todos los ladrones deben ser encarcelados”  y  la  norma individual “el ladrón Pérez debe ser encarcelado”, sino una relación entre la validez de la norma general y un acto del tribunal cuyo sentido subjetivo puede, pero no tiene que, estar de acuerdo con la norma general. Si la norma individual establecida por el tribunal está de acuerdo con la norma general a ser aplicada por el tribunal, la validez de la norma individual puede fundamentarse por   la   validez   de  la   norma general, pero esto no significa que la validez de la norma individual, a ser establecida por el órgano aplicador, se siga lógicamente de la validez de la norma general a ser aplicada. Si el tribunal, a pesar de haber constatado que un hombre determinado  ha  robado,  lo absuelve, es decir, si el sentido subjetivo de su acto no es que un </w:t>
      </w:r>
      <w:r>
        <w:lastRenderedPageBreak/>
        <w:t xml:space="preserve">hombre deba ser encarcelado, sino de </w:t>
      </w:r>
      <w:r w:rsidR="00C63ED2">
        <w:t xml:space="preserve">que no deba ser encarcelado, la </w:t>
      </w:r>
      <w:r>
        <w:t>fuerza   legal   de</w:t>
      </w:r>
      <w:r w:rsidR="00C63ED2">
        <w:t xml:space="preserve">   las   decisiones judiciales.</w:t>
      </w:r>
      <w:r w:rsidR="00C63ED2">
        <w:rPr>
          <w:rStyle w:val="Refdenotaalpie"/>
        </w:rPr>
        <w:footnoteReference w:id="8"/>
      </w:r>
    </w:p>
    <w:p w:rsidR="00B81921" w:rsidRDefault="00C63ED2" w:rsidP="00B81921">
      <w:r>
        <w:t>Wilhelm Dilthey,</w:t>
      </w:r>
      <w:r>
        <w:rPr>
          <w:rStyle w:val="Refdenotaalpie"/>
        </w:rPr>
        <w:footnoteReference w:id="9"/>
      </w:r>
      <w:r w:rsidR="00E3493B">
        <w:t xml:space="preserve"> al igual que Max Weber</w:t>
      </w:r>
      <w:r w:rsidR="00E3493B">
        <w:rPr>
          <w:rStyle w:val="Refdenotaalpie"/>
        </w:rPr>
        <w:footnoteReference w:id="10"/>
      </w:r>
      <w:r w:rsidR="00B81921">
        <w:t xml:space="preserve"> y el resto de los neokantianos de principios del siglo veinte, distingue -con términos  muy  específicos-  la  forma  en que la mente humana asimila conceptos y nociones. Los conceptos se “explican” y la mente los “entiende” (Vernunft). Por otra parte  las  nociones  requieren  ser expuestas mediante “discursos argumentativos” para ser “comprendidas” (Verstehen) con sus cargas endopáticas por aquellos que escuchan los argumentos.</w:t>
      </w:r>
    </w:p>
    <w:p w:rsidR="00B81921" w:rsidRDefault="00B81921" w:rsidP="00E3493B">
      <w:pPr>
        <w:pStyle w:val="Ttulo2"/>
      </w:pPr>
      <w:bookmarkStart w:id="7" w:name="_Toc81161297"/>
      <w:r>
        <w:t>1.3. DISTINCIÓN  ENTRE  CONCEPTOS  Y NOCIONES (CONCEPTOS INDETERMINADOS)</w:t>
      </w:r>
      <w:bookmarkEnd w:id="7"/>
    </w:p>
    <w:p w:rsidR="00B81921" w:rsidRDefault="00B81921" w:rsidP="00B81921">
      <w:r>
        <w:t>Podemos rastrear el proceder lógico de nuestra   mente   y   sus   variaciones,   en orden al empleo de dos elementos distintos: conceptos y nociones. Esta distinción  equivale  a  la  que  llevaron  a cabo los filósofos clásicos entre el pensamiento diánoia y el pen</w:t>
      </w:r>
      <w:r w:rsidR="00E3493B">
        <w:t>sar noesis.</w:t>
      </w:r>
      <w:r w:rsidR="00E3493B">
        <w:rPr>
          <w:rStyle w:val="Refdenotaalpie"/>
        </w:rPr>
        <w:footnoteReference w:id="11"/>
      </w:r>
    </w:p>
    <w:p w:rsidR="00B81921" w:rsidRDefault="00B81921" w:rsidP="00B81921">
      <w:r>
        <w:t xml:space="preserve">El concepto mediante el razonar diánoia se refieren a aquellas ideas que concebimos derivando conclusiones de premisas, gracias a que sus </w:t>
      </w:r>
      <w:r>
        <w:lastRenderedPageBreak/>
        <w:t>contenidos se determinan dándol</w:t>
      </w:r>
      <w:r w:rsidR="00E3493B">
        <w:t xml:space="preserve">es un carácter de invariables y </w:t>
      </w:r>
      <w:r>
        <w:t>específicos. Por ejemplo de las premisas:</w:t>
      </w:r>
    </w:p>
    <w:p w:rsidR="00B81921" w:rsidRDefault="00B81921" w:rsidP="00B81921">
      <w:r>
        <w:t>Todo hombre es mortal</w:t>
      </w:r>
    </w:p>
    <w:p w:rsidR="00B81921" w:rsidRDefault="00C63ED2" w:rsidP="00B81921">
      <w:r>
        <w:t xml:space="preserve">Sócrates es hombre, </w:t>
      </w:r>
      <w:r w:rsidR="00B81921">
        <w:t>validez  de  esta  norma  individual</w:t>
      </w:r>
      <w:r>
        <w:t xml:space="preserve"> </w:t>
      </w:r>
      <w:r w:rsidR="00B81921">
        <w:t>no puede fundamentarse por la validez de la norma general referente al robo. No está en cuestión aquí que ésta puede fundamentarse por la validez de la norma</w:t>
      </w:r>
      <w:r w:rsidR="00E3493B">
        <w:t xml:space="preserve"> </w:t>
      </w:r>
      <w:r w:rsidR="00B81921">
        <w:t>general</w:t>
      </w:r>
      <w:r w:rsidR="00E3493B">
        <w:t xml:space="preserve"> </w:t>
      </w:r>
      <w:r w:rsidR="00B81921">
        <w:t>referente</w:t>
      </w:r>
      <w:r w:rsidR="00E3493B">
        <w:t xml:space="preserve"> </w:t>
      </w:r>
      <w:r w:rsidR="00B81921">
        <w:t>a</w:t>
      </w:r>
      <w:r w:rsidR="00E3493B">
        <w:t xml:space="preserve"> la </w:t>
      </w:r>
      <w:r w:rsidR="00B81921">
        <w:t>(Se puede derivar que) Sócrates es mortal.</w:t>
      </w:r>
    </w:p>
    <w:p w:rsidR="00B81921" w:rsidRDefault="00B81921" w:rsidP="00B81921">
      <w:r>
        <w:t xml:space="preserve">De  igual  </w:t>
      </w:r>
      <w:r w:rsidR="00E3493B">
        <w:t xml:space="preserve">manera  se  puede  derivar  “es </w:t>
      </w:r>
      <w:r>
        <w:t>igual a cuatro, la suma de dos más dos”:</w:t>
      </w:r>
      <w:r w:rsidR="00E3493B">
        <w:t xml:space="preserve"> </w:t>
      </w:r>
      <w:r>
        <w:t>2+2=4.</w:t>
      </w:r>
    </w:p>
    <w:p w:rsidR="00B81921" w:rsidRDefault="00B81921" w:rsidP="00B81921">
      <w:r>
        <w:t>Los contenidos específicos invariables señalados  como  que  2  valga  dos,  y  4 valga cuatro   permiten   concebir la idea de que la unión de dos unidades de dos equivale a una de 4.</w:t>
      </w:r>
    </w:p>
    <w:p w:rsidR="00B81921" w:rsidRDefault="00B81921" w:rsidP="00B81921">
      <w:r>
        <w:t>Los conceptos son términos que se caracterizan porque su contenido es autorreferente específico a su forma. Siempre que se habla de algo específico, tal idea se relaciona directamente con el concepto. Por ejemplo, cuando decimos “ángulo recto” siempre se entenderá que se  trata  de  un  ángulo  de  90º.  Esta relación   es   absoluta   y   nunca   será diferente. Esta idea nunca varía bajo ninguna situación. Las ciencias exactas operan con conceptos.</w:t>
      </w:r>
    </w:p>
    <w:p w:rsidR="00B81921" w:rsidRDefault="00B81921" w:rsidP="00B81921">
      <w:r>
        <w:t xml:space="preserve">Por otra parte, el pensar noesis emplea la noción  o  noema;  y  se  refiere  al  término cuyo valor o significado, puede variar en orden a cierto abanico de posibilidades. En el campo jurídico algunos les llaman </w:t>
      </w:r>
      <w:r>
        <w:lastRenderedPageBreak/>
        <w:t>“conceptos indeterminados”. La noción o concepto indeterminado permite ser cargado de intención o carga endopática para llevar a cabo un proyecto. De ahí que se diga que la noción designa o conlleva cierta “cordura” o coherencia, con el resto de las ideas de una persona. Son nociones,  los  signos  empleados  en álgebra. Por ejemplo:</w:t>
      </w:r>
    </w:p>
    <w:p w:rsidR="00B81921" w:rsidRDefault="00B81921" w:rsidP="00B81921">
      <w:r>
        <w:t>X + Y = Z</w:t>
      </w:r>
    </w:p>
    <w:p w:rsidR="00B81921" w:rsidRDefault="00B81921" w:rsidP="00B81921">
      <w:r>
        <w:t xml:space="preserve">El valor de X, o el valor de Y se referencian en razón del contexto de toda la  relación  o  coherencia.  Si  X=  4  al mismo tiempo que Z=9, podemos inferir que Y=5. Sin embargo con que varíe un signo  en  su </w:t>
      </w:r>
      <w:r w:rsidR="00E3493B">
        <w:t xml:space="preserve"> contenido,  el  resto  de  los </w:t>
      </w:r>
      <w:r>
        <w:t xml:space="preserve">valores puede cambiar. El significado de las nociones varía, dependiendo de las circunstancias y experiencias de sus operadores. ¿Qué es la pobreza? ¿Qué es ser afortunado? Estos términos varían de contexto a contexto. Lo que en algunas regiones del mundo se consideraría pobreza, en otros países podría considerarse un logro de riqueza económica.   De   igual   manera   ¿Cómo puedo comprobar en la práctica que un acto se realizó en legítima defensa?, ¿qué es el bien común?, ¿Qué es el orden público?, ¿Qué es la buena fe? Podemos dar definiciones generales, pero cada ejemplo varía bajo sus propias circunstancias. A diferencia de los conceptos, las nociones no son absolutas. Las nociones sufren una cierta adaptación en su contenido material para poder aplicarse a un caso concreto real de forma casi objetiva. La noción cuenta con cierta flexibilidad que el </w:t>
      </w:r>
      <w:r>
        <w:lastRenderedPageBreak/>
        <w:t>concepto no tiene. Esta flexibilidad es empleada por la mente del operador jurídico y su experiencia acumulada.</w:t>
      </w:r>
    </w:p>
    <w:p w:rsidR="00B81921" w:rsidRDefault="00B81921" w:rsidP="00E3493B">
      <w:pPr>
        <w:pStyle w:val="Ttulo3"/>
      </w:pPr>
      <w:bookmarkStart w:id="8" w:name="_Toc81161298"/>
      <w:r>
        <w:t>1.3.1 El Derecho es un conocimiento comprensivo porque emplea nociones</w:t>
      </w:r>
      <w:bookmarkEnd w:id="8"/>
    </w:p>
    <w:p w:rsidR="00B81921" w:rsidRDefault="00B81921" w:rsidP="00B81921">
      <w:r>
        <w:t>Visto lo anterior, claramente podemos percibir que el Derecho es un saber en el que los conceptos son prácticamente nulos. El conocimiento jurídico parece, al igual que  el  resto  de  las  ciencias  sociales, operar mediante nociones. De ahí que se diga que su conocimiento es de orden comprensivo. El sentido material de las normas (nociones) es establecido por los operadores del término. Ellos son los responsables  del  sentido  desplazado tanto   en   las   normas   como   en   sus palabras.  Y  solamente  definido  el conjunto de nociones que califican una circunstancia específica, podría llevarse a cabo un análisis lógico-jurídico. Porque el sentido material de las nociones es lo que se desplazará en las inferencias lógicas.</w:t>
      </w:r>
    </w:p>
    <w:p w:rsidR="00B81921" w:rsidRDefault="00B81921" w:rsidP="00B81921">
      <w:r>
        <w:t>El sentido es algo que el operador de las normas y las palabras mismas construye empleando su conocimiento acumulado junto con la realidad misma que percibe de  un  asunto  en  particular.  La experiencia de algo es “su propia experiencia” (endopática) de ese algo; en el que implica a su vez sensaciones y emociones. El sentido de una experiencia particular -como el disparar una pistola y herir a un atacante ante una amenaza inminente-, es algo que se desplaza en el lenguaje.</w:t>
      </w:r>
    </w:p>
    <w:p w:rsidR="00B81921" w:rsidRDefault="00B81921" w:rsidP="00B81921"/>
    <w:p w:rsidR="00B81921" w:rsidRDefault="00B81921" w:rsidP="00B81921">
      <w:r>
        <w:t>La afirmación: “Le disparé en legítima defensa” sólo puede ser evaluada como verdadera por un operador judicial, después de establecer la carga endopática del que disparó y la carga de intención subjetiva del aparente atacante.</w:t>
      </w:r>
    </w:p>
    <w:p w:rsidR="00B81921" w:rsidRDefault="00B81921" w:rsidP="00B81921">
      <w:r>
        <w:t>La sola proposición sin la consideración de la carga subjetiva del que la enuncia, no tiene un valor en sí misma. No puede ser considerada como verdadera o falsa, sino hasta que se defina el contexto endopático en el que se enunció.</w:t>
      </w:r>
    </w:p>
    <w:p w:rsidR="00B81921" w:rsidRDefault="00B81921" w:rsidP="00B81921">
      <w:r>
        <w:t>La sola afirmación formal: “Le disparé en legítima defensa” no tiene sentido en sí misma.  La  adquiere  en  la  carga intencional endopática del que la enuncia; y será objeto de evidencia, si se le logra comprobar tal situación.</w:t>
      </w:r>
    </w:p>
    <w:p w:rsidR="00B81921" w:rsidRDefault="00B81921" w:rsidP="00B81921">
      <w:r>
        <w:t>Como se puede ver la lógica jurídica no opera con meras enunciaciones formales, sino que depende de los contenidos desplazados  en  las  nociones  variables. Por esta razón se puede decir que toda enunciación en el campo de las ciencias sociales opera a modo de  tipo ideal. Es decir a modo de “concepto límite” que señala fenómenos o situaciones “posibles”. Son imágenes mentales hipotéticas. Un simulacro e</w:t>
      </w:r>
      <w:r w:rsidR="00E3493B">
        <w:t xml:space="preserve">n  el  que  puede  hacerse  una </w:t>
      </w:r>
      <w:r>
        <w:t>imputación a modo significativo para explicar una antecedente y un consecuente.</w:t>
      </w:r>
    </w:p>
    <w:p w:rsidR="00B81921" w:rsidRDefault="00B81921" w:rsidP="00E3493B">
      <w:pPr>
        <w:pStyle w:val="Ttulo2"/>
      </w:pPr>
      <w:bookmarkStart w:id="9" w:name="_Toc81161299"/>
      <w:r>
        <w:lastRenderedPageBreak/>
        <w:t>1.4. PRECURSORES TEÓRICOS DE LA LÓGICA COMPRENSIVA</w:t>
      </w:r>
      <w:bookmarkEnd w:id="9"/>
    </w:p>
    <w:p w:rsidR="00B81921" w:rsidRDefault="00B81921" w:rsidP="00B81921">
      <w:r>
        <w:t>En 1874 Herman Lotze en su obra titulada: Lógica, distinguió dos formas de llevar  a  cabo  procesos  lógicos.  Por  un lado aquellas operaciones en las que vinculamos afecciones y valores y; por otra parte, aquellas en las que sólo razonamos con proposiciones abstractas al alto vacío. No es igual la lógica empleada durante la experiencia psíquica en la que estamos experimentando afecciones  endopáticas  como  una amenaza; que la lógica empleada al usar premisas  absolutas  y  abstractas  en  las que no hay carácter endopático. No es lo mismo decidir disparar a una persona que nos amenaza y que hemos visto que se comporta cruel y violentamente, que decidir hipotéticamente sin vivir esa experiencia, si se le dispara a una persona “amenazante” o no independiente de las circunstancias.</w:t>
      </w:r>
    </w:p>
    <w:p w:rsidR="00E3493B" w:rsidRDefault="00B81921" w:rsidP="00B81921">
      <w:r>
        <w:t>Lotze  encontró  que  aquellos  procesos que implicaban precisamente asimilación endopática -y atendían a experiencias concretas de la realidad- empleaban una lógica que procedía mediante el acto psíquico de pensar; el cual sólo acontece como  un  determinado  hecho  temporal. Por otra parte se encuentra la lógica que opera  con  el  contenido  del  pensamiento. Esta lógica no requiere del acto psíquico sobre la experiencia de lo señalado, sino que se lleva a cabo mediante la reflexión sobre los enunciados meramente establecidos.</w:t>
      </w:r>
    </w:p>
    <w:p w:rsidR="00B81921" w:rsidRDefault="00B81921" w:rsidP="00B81921">
      <w:r>
        <w:lastRenderedPageBreak/>
        <w:t>El jurista y filósofo Wilhelm Schuppe (1836-1913) en sus obr</w:t>
      </w:r>
      <w:r w:rsidR="00E3493B">
        <w:t>as Lógica gnoseológica (1878),</w:t>
      </w:r>
      <w:r w:rsidR="00E3493B">
        <w:rPr>
          <w:rStyle w:val="Refdenotaalpie"/>
        </w:rPr>
        <w:footnoteReference w:id="12"/>
      </w:r>
      <w:r>
        <w:t xml:space="preserve"> Fundamentos de ética</w:t>
      </w:r>
      <w:r w:rsidR="00E3493B">
        <w:t xml:space="preserve"> </w:t>
      </w:r>
      <w:r>
        <w:t xml:space="preserve">y </w:t>
      </w:r>
      <w:r w:rsidR="00E3493B">
        <w:t>filosofía del derecho (1882),</w:t>
      </w:r>
      <w:r w:rsidR="00E3493B">
        <w:rPr>
          <w:rStyle w:val="Refdenotaalpie"/>
        </w:rPr>
        <w:footnoteReference w:id="13"/>
      </w:r>
      <w:r>
        <w:t xml:space="preserve"> Esbozo </w:t>
      </w:r>
      <w:r w:rsidR="00E3493B">
        <w:t>de gnoseología y lógica (1894)</w:t>
      </w:r>
      <w:r w:rsidR="00E3493B">
        <w:rPr>
          <w:rStyle w:val="Refdenotaalpie"/>
        </w:rPr>
        <w:footnoteReference w:id="14"/>
      </w:r>
      <w:r>
        <w:t xml:space="preserve"> y Filosofía de la inma</w:t>
      </w:r>
      <w:r w:rsidR="00E3493B">
        <w:t>nencia (1897),</w:t>
      </w:r>
      <w:r w:rsidR="00E3493B">
        <w:rPr>
          <w:rStyle w:val="Refdenotaalpie"/>
        </w:rPr>
        <w:footnoteReference w:id="15"/>
      </w:r>
      <w:r>
        <w:t xml:space="preserve"> aborda la idea de la percepción de los eventos desde un punto fenomenológico (semejante al que desarrollará cincuenta años después Maurice Merleau-Ponty). Habla de la percepción inmanente la cual consiste en considerar que toda experiencia es experiencia de la conciencia. Esta visión posee un importante rasgo endopático.</w:t>
      </w:r>
    </w:p>
    <w:p w:rsidR="00B81921" w:rsidRDefault="00B81921" w:rsidP="00B81921">
      <w:r>
        <w:t>Ante las posturas de Lotze y Schuppe se presentaron varios ataques, entre los que destacó  el  del  filósofo  matemático Gottlob Frege (1848-1925). Para este autor  la  distinción  de  términos  lógicos era absurda y propuso que todo se podría reducir a enunciados formales o contenidos de pensamiento sin considerar como distintos las consideraciones psicológicas. En 1884, en su Fundamentos de la Aritmética, afirmó:</w:t>
      </w:r>
    </w:p>
    <w:p w:rsidR="00B81921" w:rsidRDefault="00E3493B" w:rsidP="00B81921">
      <w:r>
        <w:t xml:space="preserve"> </w:t>
      </w:r>
      <w:r w:rsidR="00B81921">
        <w:t>“Una proposición no cesa de ser verdadera  en  cuanto  ya  no  la piense más, así como el sol no deja de existir cuando cierro los ojos.”</w:t>
      </w:r>
    </w:p>
    <w:p w:rsidR="00B81921" w:rsidRDefault="00B81921" w:rsidP="00B81921">
      <w:r>
        <w:t xml:space="preserve">El planteamiento de Frege elimina el razonamiento endopático y sostiene que lo falso y lo verdadero es abstracto y permanece intacto, </w:t>
      </w:r>
      <w:r>
        <w:lastRenderedPageBreak/>
        <w:t>pues ambas (verdad y falsedad) son cualidades de los correspondientes</w:t>
      </w:r>
      <w:r w:rsidR="00E3493B">
        <w:t xml:space="preserve"> </w:t>
      </w:r>
      <w:r>
        <w:t>contenidos de los actos de juicio. Desde esta perspectiva al razonamiento lógico sólo le competen los contenidos del pensamiento, desvinculados de las cargas endopáticas. En este sentido cualquier razonamiento sobre   una   conducta   sólo   puede   ser juzgada con premisas declarativas, independientemente de las circunstancias en las que lo declarado se llevara a cabo.</w:t>
      </w:r>
    </w:p>
    <w:p w:rsidR="00B81921" w:rsidRDefault="00B81921" w:rsidP="00B81921">
      <w:r>
        <w:t>Porque, como Frege lo presume, lo verdadero o falso sobre lo declarado, permanece independiente de las circunstancias experimentadas. Esto, por supuesto, ahogaría el razonamiento jurídico, sometiéndolo a meras deducciones   valorativas   en   abstracto. Cabe señalar que para Frege la distinción entre nociones y conceptos, pasa desapercibida.   Y   los   términos   en   el campo de lo social y jurídico pueden ser equivalentes  en  su  cualidad  a  los términos de las ciencias exactas.</w:t>
      </w:r>
    </w:p>
    <w:p w:rsidR="00B81921" w:rsidRDefault="00B81921" w:rsidP="00B81921">
      <w:r>
        <w:t xml:space="preserve">La lógica de los contenidos del pensamiento está bien emplearla en aquello que no es contingente, pero en aquello   contingente,   se   requiere   una lógica que incluya criterios endopáticos. La lógica jurídica requiere considerar en sus factores lógicos, valores y afecciones circunstanciales. De otra manera sus procedimientos lógicos quedarían incompletos.  El  filósofo  escolástico Tomás  de  Aquino  ya  había  observado que si bien existen reglas generales que se aplican a la mayoría de los casos, esto no quiere decir que en todos los casos se </w:t>
      </w:r>
      <w:r>
        <w:lastRenderedPageBreak/>
        <w:t>apliquen de igual manera. El factor de variabilidad  considera  elementos humanos contingentes.</w:t>
      </w:r>
    </w:p>
    <w:p w:rsidR="00B81921" w:rsidRDefault="00B81921" w:rsidP="00B81921">
      <w:r>
        <w:t>No debemos buscar el mismo grado de  certeza  en todas las cosas;  en materias  contingentes  –como  son las cosas naturales y humanas– basta la certeza de que una cosa es verdadera en la mayoría de los casos, aun</w:t>
      </w:r>
      <w:r w:rsidR="00E3493B">
        <w:t>que pueda fallar en ocasiones.</w:t>
      </w:r>
      <w:r w:rsidR="00E3493B">
        <w:rPr>
          <w:rStyle w:val="Refdenotaalpie"/>
        </w:rPr>
        <w:footnoteReference w:id="16"/>
      </w:r>
    </w:p>
    <w:p w:rsidR="00B81921" w:rsidRDefault="00B81921" w:rsidP="00B81921">
      <w:r>
        <w:t>[…] la razón especulativa trata principalmente sobre cosas necesarias, que no pueden comp</w:t>
      </w:r>
      <w:r w:rsidR="00E3493B">
        <w:t xml:space="preserve">ortarse   más   que   como   lo </w:t>
      </w:r>
      <w:r>
        <w:t>hacen, y por eso tanto sus conclusiones particulares como sus principios comunes expresan verdades que no admiten excepción.</w:t>
      </w:r>
      <w:r w:rsidR="00E05D3E">
        <w:rPr>
          <w:rStyle w:val="Refdenotaalpie"/>
        </w:rPr>
        <w:footnoteReference w:id="17"/>
      </w:r>
      <w:r>
        <w:t xml:space="preserve">  La razón práctica, en cambio, se ocupa de cosas contingentes, como son las operaciones humanas, y por eso, aunque en sus principios comunes todavía se encuentra cierta necesidad, cuanto más se desciende a lo particular tanto más excepciones ocurren. Así, pues, en el orden especulativo, la verdad es la misma  para  todos,  ya  sea  en los principios, ya en las conclusiones, […] Pero en el orden práctico, la verdad o rectitud práctica no es la misma en todos a nivel de conocim</w:t>
      </w:r>
      <w:r w:rsidR="00E05D3E">
        <w:t>iento  concreto  o particular.</w:t>
      </w:r>
      <w:r w:rsidR="00E05D3E">
        <w:rPr>
          <w:rStyle w:val="Refdenotaalpie"/>
        </w:rPr>
        <w:footnoteReference w:id="18"/>
      </w:r>
    </w:p>
    <w:p w:rsidR="00B81921" w:rsidRDefault="00B81921" w:rsidP="00B81921">
      <w:r>
        <w:t xml:space="preserve">En el campo de la actividad jurídica, los operadores del derecho resuelven asuntos con base en la experiencia acumulada por todos  los  </w:t>
      </w:r>
      <w:r>
        <w:lastRenderedPageBreak/>
        <w:t>años  de  trabajo,  casos analizados  y  todos  los  estudios realizados. Muchas experiencias con cargas endopáticas vinculadas. Es un tipo de saber práctico prudencial que los griegos llamaban phronesis y en la actualidad recibe, entre otros, nombres como “lógica operativa”, “conocimiento endopático”, “inconsciente adaptativo” o “lógica de lo razonable”. El pensamiento de los profesionales del derecho no parte de operaciones lógico- formales analíticas. Incluso tampoco de métodos  claramente  definidos.  El  saber de los juristas no es un saber sistemático en   su   or</w:t>
      </w:r>
      <w:r w:rsidR="00E05D3E">
        <w:t xml:space="preserve">igen,   aunque   posteriormente </w:t>
      </w:r>
      <w:r>
        <w:t>echen mano de razonamientos formales para expresarlo. El razonar jurídico como conocimiento comprensivo inicia a partir de conjeturas que la propia mente de los juristas plantea a modo de hipótesis, con la sola garantía de la experiencia acumulada a lo largo de los años de vida profesional, académica y experiencial. Todo el bagaje de conocim</w:t>
      </w:r>
      <w:r w:rsidR="00E05D3E">
        <w:t>ientos, aptitudes y actitudes</w:t>
      </w:r>
      <w:r w:rsidR="00E05D3E">
        <w:rPr>
          <w:rStyle w:val="Refdenotaalpie"/>
        </w:rPr>
        <w:footnoteReference w:id="19"/>
      </w:r>
      <w:r>
        <w:t xml:space="preserve"> asimilados por nosotros mismos se integra como un “fondo   acumulado   de   saber”.   A   éste bagaje es al que acudimos cuando nos enfrentamos a un problema jurídico. Efectivamente,  las  operaciones  del razonar jurídico son prácticas y se manifiestan en un primer momento como si fueran intuiciones. Charles Sanders Peirce  consideró  que  tales procedimientos mentales conformaban la primera parte de una forma de razonamiento llamado abducción. John Dewey  </w:t>
      </w:r>
      <w:r>
        <w:lastRenderedPageBreak/>
        <w:t>llamó  a  esta  forma  de pensamiento: “proceso real o psicológico” en su obra Cómo Pensamos (1910). Finalmente Recasens Siches atisbó esta forma de pensar jurídico y la l</w:t>
      </w:r>
      <w:r w:rsidR="00E05D3E">
        <w:t>lamó “Lógica de lo razonable”.</w:t>
      </w:r>
      <w:r w:rsidR="00E05D3E">
        <w:rPr>
          <w:rStyle w:val="Refdenotaalpie"/>
        </w:rPr>
        <w:footnoteReference w:id="20"/>
      </w:r>
    </w:p>
    <w:p w:rsidR="00B81921" w:rsidRDefault="00E05D3E" w:rsidP="00B81921">
      <w:r>
        <w:t xml:space="preserve"> </w:t>
      </w:r>
      <w:r w:rsidR="00B81921">
        <w:t>“Aquí no me propongo intentar un diseño del logos, sino solamente llamar de modo enfático la atención hacia otra provincia de este saber: hacia el logos de los asuntos humanos o “lógica de lo razonable” […] Solamente, con concisión telegráfica, recordaré los siguientes puntos:</w:t>
      </w:r>
    </w:p>
    <w:p w:rsidR="00B81921" w:rsidRDefault="00B81921" w:rsidP="00B81921">
      <w:r>
        <w:t xml:space="preserve">a) La  lógica  de  lo  razonable  es lógica, tan lógica como la de lo racional: o incluso cabría decir, </w:t>
      </w:r>
    </w:p>
    <w:p w:rsidR="00B81921" w:rsidRDefault="00B81921" w:rsidP="00B81921">
      <w:r>
        <w:t>b) El logos de lo razonable posee una</w:t>
      </w:r>
      <w:r w:rsidR="005329DE">
        <w:t xml:space="preserve"> </w:t>
      </w:r>
      <w:r>
        <w:t>dimensión</w:t>
      </w:r>
      <w:r w:rsidR="005329DE">
        <w:t xml:space="preserve"> </w:t>
      </w:r>
      <w:r>
        <w:t>intensiva (consejo, norma, imperativo, fuerza   creadora)   desconocida por  la  lógica  tradicional,  esto es,  por  la  lógica  de  la ciencia matemática y de las ciencias de la naturaleza.</w:t>
      </w:r>
    </w:p>
    <w:p w:rsidR="00B81921" w:rsidRDefault="00B81921" w:rsidP="00B81921">
      <w:r>
        <w:t>c) La  lógica  de  lo  razonable  se encuentra transitada por juicios de valor, por estimaciones.</w:t>
      </w:r>
    </w:p>
    <w:p w:rsidR="00B81921" w:rsidRDefault="00B81921" w:rsidP="00B81921">
      <w:r>
        <w:t>d) La   lógica   de   lo   razonable, contiene</w:t>
      </w:r>
      <w:r>
        <w:tab/>
        <w:t>conexiones</w:t>
      </w:r>
      <w:r w:rsidR="005329DE">
        <w:t xml:space="preserve"> </w:t>
      </w:r>
      <w:r>
        <w:t>entre valores y fines: entre fines y medios, y respecto de éstos requiere  congruencia, corrección ética y eficacia.</w:t>
      </w:r>
    </w:p>
    <w:p w:rsidR="00B81921" w:rsidRDefault="00B81921" w:rsidP="00B81921">
      <w:r>
        <w:t>e) La lógica de lo razonable está ri</w:t>
      </w:r>
      <w:r w:rsidR="00E05D3E">
        <w:t>gurosa y estrictamente fundada:</w:t>
      </w:r>
      <w:r>
        <w:t xml:space="preserve"> pero  sus  expresiones no tienen ni pueden tener una exactitud de tipo matemático. En las valoraciones comprendidas  bajo  el  nombre de</w:t>
      </w:r>
      <w:r w:rsidR="00E05D3E">
        <w:t xml:space="preserve"> </w:t>
      </w:r>
      <w:r>
        <w:lastRenderedPageBreak/>
        <w:t>prudencia,</w:t>
      </w:r>
      <w:r w:rsidR="005329DE">
        <w:t xml:space="preserve"> </w:t>
      </w:r>
      <w:r>
        <w:t>se</w:t>
      </w:r>
      <w:r w:rsidR="005329DE">
        <w:t xml:space="preserve"> </w:t>
      </w:r>
      <w:r>
        <w:t>da</w:t>
      </w:r>
      <w:r w:rsidR="005329DE">
        <w:t xml:space="preserve"> </w:t>
      </w:r>
      <w:r>
        <w:t>la posibilidad  de  gradaciones,  de un más  y de un menos.</w:t>
      </w:r>
    </w:p>
    <w:p w:rsidR="00B81921" w:rsidRDefault="00B81921" w:rsidP="00B81921">
      <w:r>
        <w:t>Para comprender de forma más clara la distinción entre la lógica de lo razonable y la lógica de forma analítica, debemos distinguir algunos elementos que revisaremos a continuación.</w:t>
      </w:r>
    </w:p>
    <w:p w:rsidR="00B81921" w:rsidRPr="00E05D3E" w:rsidRDefault="00B81921" w:rsidP="00E05D3E">
      <w:pPr>
        <w:pStyle w:val="Ttulo2"/>
      </w:pPr>
      <w:bookmarkStart w:id="10" w:name="_Toc81161300"/>
      <w:r w:rsidRPr="00E05D3E">
        <w:t>1</w:t>
      </w:r>
      <w:r w:rsidRPr="00E05D3E">
        <w:rPr>
          <w:rStyle w:val="Ttulo2Car"/>
          <w:b/>
          <w:bCs/>
        </w:rPr>
        <w:t>.5. EL ERROR EN EL QUE SE INCURRE AL INTENTAR REDUCIR LAS NOCIONES EN CONCEPTOS</w:t>
      </w:r>
      <w:bookmarkEnd w:id="10"/>
    </w:p>
    <w:p w:rsidR="00B81921" w:rsidRDefault="00B81921" w:rsidP="00B81921">
      <w:r>
        <w:t>Entre 1900 y 1901 el  filósofo Edmund</w:t>
      </w:r>
    </w:p>
    <w:p w:rsidR="00B81921" w:rsidRDefault="00B81921" w:rsidP="00B81921">
      <w:r>
        <w:t>Husserl  publicó  Investigaciones  Lógicas;</w:t>
      </w:r>
      <w:r w:rsidR="00E05D3E">
        <w:t xml:space="preserve"> </w:t>
      </w:r>
      <w:r>
        <w:t>obra  en  la  que  exploró,  median</w:t>
      </w:r>
      <w:r w:rsidR="00E05D3E">
        <w:t xml:space="preserve">te  la </w:t>
      </w:r>
      <w:r>
        <w:t>llamada “fenomenología trascendental” redu</w:t>
      </w:r>
      <w:r w:rsidR="00E05D3E">
        <w:t>cir las nociones en conceptos.</w:t>
      </w:r>
      <w:r w:rsidR="00E05D3E">
        <w:rPr>
          <w:rStyle w:val="Refdenotaalpie"/>
        </w:rPr>
        <w:footnoteReference w:id="21"/>
      </w:r>
      <w:r>
        <w:t xml:space="preserve"> Husserl ciertamente afirma que</w:t>
      </w:r>
      <w:r w:rsidR="00E05D3E">
        <w:t xml:space="preserve"> existe la vivencia intencional</w:t>
      </w:r>
      <w:r w:rsidR="00E05D3E">
        <w:rPr>
          <w:rStyle w:val="Refdenotaalpie"/>
        </w:rPr>
        <w:footnoteReference w:id="22"/>
      </w:r>
      <w:r>
        <w:t xml:space="preserve"> de la gente y que precisamente   esta vivencia conlleva -a modo de propiedad</w:t>
      </w:r>
      <w:r w:rsidR="00E05D3E">
        <w:t>es- vivencias referidas a algo.</w:t>
      </w:r>
      <w:r w:rsidR="00E05D3E">
        <w:rPr>
          <w:rStyle w:val="Refdenotaalpie"/>
        </w:rPr>
        <w:footnoteReference w:id="23"/>
      </w:r>
      <w:r>
        <w:t xml:space="preserve"> A objetos específicos que son correlatos  necesarios  de  vivencias. Husserl llama a estos contenidos de vivencia: “objetos intencionales”. A partir de la c</w:t>
      </w:r>
      <w:r w:rsidR="00E05D3E">
        <w:t>omparación de varios de ellos,</w:t>
      </w:r>
      <w:r w:rsidR="00E05D3E">
        <w:rPr>
          <w:rStyle w:val="Refdenotaalpie"/>
        </w:rPr>
        <w:footnoteReference w:id="24"/>
      </w:r>
      <w:r>
        <w:t xml:space="preserve"> (de estos objetos intencionales) Husserl presume que podrá encontrar una esencia común. Es decir, para él parecía posible encontrar un estándar de objetos intencionales. Su </w:t>
      </w:r>
      <w:r>
        <w:lastRenderedPageBreak/>
        <w:t>llamada “fenomenología trascendental” se trata de una “ciencia” que estudia las estructuras esenciales de las vivencias y los objetos intencionales. Y a partir de ella se podrán especificar las nociones como conceptos invariantes. De este  modo  la  lógica  podrá  operar  con tales contenidos como valores autorreferentes específicos de nociones.</w:t>
      </w:r>
    </w:p>
    <w:p w:rsidR="00B81921" w:rsidRDefault="00B81921" w:rsidP="00B81921">
      <w:r>
        <w:t>Para obtener sus “objetos intencionales” estándar y definir con ello conceptualmente las experiencias nocionales, Husserl echa mano de</w:t>
      </w:r>
      <w:r w:rsidR="00E05D3E">
        <w:t xml:space="preserve"> un método llamado mereología,</w:t>
      </w:r>
      <w:r w:rsidR="00E05D3E">
        <w:rPr>
          <w:rStyle w:val="Refdenotaalpie"/>
        </w:rPr>
        <w:footnoteReference w:id="25"/>
      </w:r>
      <w:r>
        <w:t xml:space="preserve"> el cual permite distinguir las partes independientes de los objetos intencionales, de las partes no independientes. Al detectar las partes no independientes, se asume la idea de encontrar los mínimos comunes de los comportamientos vivenciales. A ello se le</w:t>
      </w:r>
      <w:r w:rsidR="00E05D3E">
        <w:t xml:space="preserve"> </w:t>
      </w:r>
      <w:r>
        <w:t>llama epojé trascendental o subjetividad trascendental.   Es   decir,   la   conciencia pura reducida a concepto. De esta manera el mundo vivido se reduce claramente a contenidos de pensamiento. Con esta idea se presume la anulación de la lógica psíquica de Lotze.</w:t>
      </w:r>
    </w:p>
    <w:p w:rsidR="00B81921" w:rsidRDefault="00B81921" w:rsidP="00B81921">
      <w:r>
        <w:t xml:space="preserve">Sobre la mereología, hay que señalar que cuarenta años después de las Investigaciones Lógicas de Husserl, los estudios de Nelson Goodman mostraron que es imposible encontrar un único genuino patrón de objetos intencionales. Desde la perspectiva de su filosofía </w:t>
      </w:r>
      <w:r>
        <w:lastRenderedPageBreak/>
        <w:t>constructivista,   a   la   cual   él   llama</w:t>
      </w:r>
      <w:r w:rsidR="00E05D3E">
        <w:t xml:space="preserve"> “filosofía de la comprensión”</w:t>
      </w:r>
      <w:r w:rsidR="00E05D3E">
        <w:rPr>
          <w:rStyle w:val="Refdenotaalpie"/>
        </w:rPr>
        <w:footnoteReference w:id="26"/>
      </w:r>
      <w:r>
        <w:t xml:space="preserve">  la forma en que la mente lleva a cabo estas comparaciones de variaciones eidéticas, para encontrar un patrón esencial, es totalmente arbitraria.</w:t>
      </w:r>
    </w:p>
    <w:p w:rsidR="00B81921" w:rsidRDefault="00E05D3E" w:rsidP="00B81921">
      <w:r>
        <w:t xml:space="preserve"> </w:t>
      </w:r>
      <w:r w:rsidR="00B81921">
        <w:t>“Evidentemente, debemos buscar la verdad no en la relación entre una versión y su referente externo, sino en las características de la versión misma   y   sus   relaciones   con otras versiones… Cuando se pierde el mundo y la correspondencia junto con él, el primer pensamiento suele ser la coherencia. Pero las respuestas no pueden consistir sólo en la coherencia; pues una versión falsa o equivocada puede ser coherente al igual que una correcta. Tampoco tenemos ninguna verdad semi</w:t>
      </w:r>
      <w:r>
        <w:t xml:space="preserve"> </w:t>
      </w:r>
      <w:r w:rsidR="00B81921">
        <w:t>evidente, axiomas absolutos, garantías ilimitadas, para distinguir lo correcto en una serie de versiones</w:t>
      </w:r>
      <w:r w:rsidR="005329DE">
        <w:t xml:space="preserve"> </w:t>
      </w:r>
      <w:r w:rsidR="00B81921">
        <w:t>coherentes;</w:t>
      </w:r>
      <w:r w:rsidR="005329DE">
        <w:t xml:space="preserve"> </w:t>
      </w:r>
      <w:r w:rsidR="00B81921">
        <w:t>deben</w:t>
      </w:r>
      <w:r>
        <w:t xml:space="preserve"> </w:t>
      </w:r>
      <w:r w:rsidR="00B81921">
        <w:t>tenerse en cuenta otras consid</w:t>
      </w:r>
      <w:r>
        <w:t xml:space="preserve">eraciones  en  esa selección” </w:t>
      </w:r>
      <w:r>
        <w:rPr>
          <w:rStyle w:val="Refdenotaalpie"/>
        </w:rPr>
        <w:footnoteReference w:id="27"/>
      </w:r>
    </w:p>
    <w:p w:rsidR="00B81921" w:rsidRDefault="00B81921" w:rsidP="00B81921">
      <w:r>
        <w:t>Para Goodman los “objetos” (intencionales) mismos y el tiempo y el espacio   que   ocupan   dependen   de   la versión narrada sobre ellos. La cual obviamente está cargada de cierta valoración e intencionalidad comprensiva endopática.</w:t>
      </w:r>
    </w:p>
    <w:p w:rsidR="00B81921" w:rsidRDefault="00B81921" w:rsidP="00B81921">
      <w:r>
        <w:t xml:space="preserve">En 1957 Jerome Bruner y Cecile C. Goodman escribieron un trabajo titulado “El valor y la necesidad como factores de organización en la percepción”. A partir de una serie de experimentos mostraron que el </w:t>
      </w:r>
      <w:r>
        <w:lastRenderedPageBreak/>
        <w:t>perceptor que busca y compara elementos para detectar patrones específicos, en realidad no se encuentra ajeno  al  medio  que  le  rodea.  El  que percibe seleccionará  constantemente  los datos que tenga y los  articulara de tal manera que obtendrá la información que le permita arribar a la hipótesis con valor adaptativo o coherente a sus creencias e intereses. Este descubrimiento dio origen al movimiento denominado New Look, en el cual se destaca que dependiendo de ciertos intereses o creencias, podemos reconocer patrones, en donde en realidad, no los hay. Por otra parte, un par de años antes, Jerome Bruner junto con Jean Matter y Miriam L. Papanek, en 1955 habían comprobado el papel de las emociones vinculadas al pensamiento. Mostraron que emociones excesivas pueden llegar a  bloquear la detección de patrones o de indicios. Y que sólo bajo ciertas condiciones emocionales se p</w:t>
      </w:r>
      <w:r w:rsidR="00E05D3E">
        <w:t>erciben de tal o cual manera.</w:t>
      </w:r>
      <w:r w:rsidR="00E05D3E">
        <w:rPr>
          <w:rStyle w:val="Refdenotaalpie"/>
        </w:rPr>
        <w:footnoteReference w:id="28"/>
      </w:r>
    </w:p>
    <w:p w:rsidR="00B81921" w:rsidRDefault="00B81921" w:rsidP="00B81921">
      <w:r>
        <w:t>En este sentido la fenomenología trascendental de Edmund Husserl se define  como  un  proceso  arbitrario  de</w:t>
      </w:r>
      <w:r w:rsidR="00E05D3E">
        <w:t xml:space="preserve"> </w:t>
      </w:r>
      <w:r>
        <w:t xml:space="preserve">determinación  de  valores  intencionales. Lo cual para el proceso de razonamientos jurídicos es insuficiente y poco práctico. Desde su selección arbitraria, se reduciría el pensamiento jurídico normativo a una </w:t>
      </w:r>
      <w:r w:rsidR="00E05D3E">
        <w:t>dogmática político o ideológico, dejando al Estado de Derecho en</w:t>
      </w:r>
      <w:r>
        <w:t xml:space="preserve"> indefensión total. Por otra parte la psicología experimental ha mostrado recientemente que nuestros </w:t>
      </w:r>
      <w:r>
        <w:lastRenderedPageBreak/>
        <w:t>pensamientos nocionales requieren una estimación variable dependiente de circunstancias específicas. Con ello parece retomarse el camino abandonado de la lógica de los procesos psíquicos.</w:t>
      </w:r>
    </w:p>
    <w:p w:rsidR="00B81921" w:rsidRDefault="00B81921" w:rsidP="00B81921">
      <w:r>
        <w:t>Con estas consideraciones podemos señalar  importantes  fallas  en  el desarrollo de la lógica de Eduardo García Máynez, quien sustenta su proyecto en las Investigaciones Lógicas de Husserl.</w:t>
      </w:r>
    </w:p>
    <w:p w:rsidR="00B81921" w:rsidRDefault="00E05D3E" w:rsidP="00B81921">
      <w:r>
        <w:t xml:space="preserve"> </w:t>
      </w:r>
      <w:r w:rsidR="00B81921">
        <w:t>“En conexión con este tema, me propuse  aplicar  al  tratamiento de las diferencias jerárquicas entre  las  normas  de  los distintos órdenes que forman el derecho de un sistema jurídico complejo, la doctrina de Edmundo Husserl sobre las leyes lógicas que rigen las relaciones entre los todos y las partes. El cumplimiento de tal tarea  me  permitió  percatarme de la naturaleza apriorística de los principios que, en forma consciente o inconsciente, han aplicado los juristas, cuando investigan las relaciones del orden jurídico de la Federación y   los   derechos   locales.   Lo mismo al exponer los principios de la lógica jurídica que al preguntarme por sus</w:t>
      </w:r>
      <w:r>
        <w:t xml:space="preserve"> fundamentos ontológicos, seguí fielmente el método </w:t>
      </w:r>
      <w:r w:rsidR="006E0DCF">
        <w:t>husserliano,…”</w:t>
      </w:r>
      <w:r w:rsidR="006E0DCF">
        <w:rPr>
          <w:rStyle w:val="Refdenotaalpie"/>
        </w:rPr>
        <w:footnoteReference w:id="29"/>
      </w:r>
    </w:p>
    <w:p w:rsidR="00E05D3E" w:rsidRDefault="00E05D3E">
      <w:pPr>
        <w:widowControl/>
        <w:autoSpaceDE/>
        <w:autoSpaceDN/>
        <w:spacing w:after="200" w:line="276" w:lineRule="auto"/>
      </w:pPr>
      <w:r>
        <w:br w:type="page"/>
      </w:r>
    </w:p>
    <w:p w:rsidR="00B81921" w:rsidRDefault="00B81921" w:rsidP="00E05D3E">
      <w:pPr>
        <w:pStyle w:val="Ttulo1"/>
      </w:pPr>
      <w:bookmarkStart w:id="11" w:name="_Toc81161301"/>
      <w:r>
        <w:lastRenderedPageBreak/>
        <w:t>2. SUBSUNCIÓN</w:t>
      </w:r>
      <w:bookmarkEnd w:id="11"/>
    </w:p>
    <w:p w:rsidR="00B81921" w:rsidRDefault="00B81921" w:rsidP="00972D97">
      <w:pPr>
        <w:pStyle w:val="Ttulo2"/>
      </w:pPr>
      <w:bookmarkStart w:id="12" w:name="_Toc81161302"/>
      <w:r>
        <w:t>2.1. LA INFERENCIA DE CONCEPTOS Y LA INFERENCIA DE NOCIONES</w:t>
      </w:r>
      <w:bookmarkEnd w:id="12"/>
    </w:p>
    <w:p w:rsidR="00B81921" w:rsidRDefault="00B81921" w:rsidP="00B81921">
      <w:r>
        <w:t>Cuando hablamos de llevar a cabo una “subsunción”, o bien “deducir” o “inducir” una idea a partir de otra, nos referimos precisamente a la actividad de derivar ideas a partir de otras ideas. ¿Pero qué ideas podemos decir que se derivan legítimamente y cuáles no a partir de una idea primera? Para llevar a cabo una correcta  derivación  de  ideas,  se  debe llevar  a  cabo  un  proceso  llamado  en lógica: “inferencia”. Por medio de ella podemos definir exactamente cuáles otras ideas se puede relacionar con una idea principal. Inferir significa “llevar algo de un lugar a otro”,</w:t>
      </w:r>
      <w:r w:rsidR="00972D97">
        <w:t xml:space="preserve"> “conducir algo de un punto a </w:t>
      </w:r>
      <w:r>
        <w:t>otro”. El  término  no  es  de origen griego, sino latino tardío. Los modos de inferir en una lógica analítica son distintos a los modos de inferir en una lógica comprensiva.</w:t>
      </w:r>
    </w:p>
    <w:p w:rsidR="00B81921" w:rsidRDefault="00B81921" w:rsidP="00972D97">
      <w:pPr>
        <w:pStyle w:val="Ttulo3"/>
      </w:pPr>
      <w:bookmarkStart w:id="13" w:name="_Toc81161303"/>
      <w:r>
        <w:t>Resumen:</w:t>
      </w:r>
      <w:bookmarkEnd w:id="13"/>
    </w:p>
    <w:p w:rsidR="00B81921" w:rsidRDefault="00B81921" w:rsidP="00B81921">
      <w:r>
        <w:t>En la lógica analítica o conceptual:</w:t>
      </w:r>
    </w:p>
    <w:p w:rsidR="00B81921" w:rsidRDefault="00B81921" w:rsidP="006E0DCF">
      <w:pPr>
        <w:pStyle w:val="Prrafodelista"/>
        <w:numPr>
          <w:ilvl w:val="0"/>
          <w:numId w:val="7"/>
        </w:numPr>
        <w:ind w:left="360"/>
      </w:pPr>
      <w:r>
        <w:t>La  inferencia  entiende  una  relación causa-efecto</w:t>
      </w:r>
    </w:p>
    <w:p w:rsidR="00B81921" w:rsidRDefault="00B81921" w:rsidP="006E0DCF">
      <w:pPr>
        <w:pStyle w:val="Prrafodelista"/>
        <w:numPr>
          <w:ilvl w:val="0"/>
          <w:numId w:val="7"/>
        </w:numPr>
        <w:ind w:left="360"/>
      </w:pPr>
      <w:r>
        <w:t>La  relación  causa-efecto  se  observa como</w:t>
      </w:r>
      <w:r w:rsidR="00972D97">
        <w:t xml:space="preserve"> </w:t>
      </w:r>
      <w:r>
        <w:t>regla</w:t>
      </w:r>
      <w:r w:rsidR="00972D97">
        <w:t xml:space="preserve"> </w:t>
      </w:r>
      <w:r>
        <w:t>en</w:t>
      </w:r>
      <w:r w:rsidR="00972D97">
        <w:t xml:space="preserve"> </w:t>
      </w:r>
      <w:r>
        <w:t>las</w:t>
      </w:r>
      <w:r w:rsidR="00972D97">
        <w:t xml:space="preserve"> </w:t>
      </w:r>
      <w:r>
        <w:t>cualidades naturales d</w:t>
      </w:r>
      <w:r w:rsidR="00972D97">
        <w:t xml:space="preserve">e las cosas (algo que vemos que </w:t>
      </w:r>
      <w:r>
        <w:t>ocurre</w:t>
      </w:r>
      <w:r w:rsidR="00972D97">
        <w:t xml:space="preserve"> </w:t>
      </w:r>
      <w:r>
        <w:t>regularmente.)</w:t>
      </w:r>
      <w:r w:rsidR="005329DE">
        <w:t xml:space="preserve"> </w:t>
      </w:r>
      <w:r>
        <w:t>Por ejemplo, el comportamiento natural de los cuerpos geométricos.</w:t>
      </w:r>
    </w:p>
    <w:p w:rsidR="00B81921" w:rsidRDefault="00B81921" w:rsidP="006E0DCF"/>
    <w:p w:rsidR="00B81921" w:rsidRDefault="00B81921" w:rsidP="006E0DCF">
      <w:pPr>
        <w:pStyle w:val="Prrafodelista"/>
        <w:numPr>
          <w:ilvl w:val="0"/>
          <w:numId w:val="7"/>
        </w:numPr>
        <w:ind w:left="360"/>
      </w:pPr>
      <w:r>
        <w:lastRenderedPageBreak/>
        <w:t>3. Una  norma  entraña  a  otra  norma según un  vínculo de causalidad, es decir, lo que acontece en un concepto</w:t>
      </w:r>
      <w:r w:rsidR="00972D97">
        <w:t xml:space="preserve"> </w:t>
      </w:r>
      <w:r>
        <w:t>género, lo padecen o replican también los conceptos especie. Por ejemplo: lo que acontece como “regla” en el concepto género “triángulo”, es que la suma de sus  ángulos  internos  siempre  es  de</w:t>
      </w:r>
      <w:r w:rsidR="006E0DCF">
        <w:t xml:space="preserve"> </w:t>
      </w:r>
      <w:r>
        <w:t>180º. Ése es un comportamiento natural   de   las</w:t>
      </w:r>
      <w:r w:rsidR="005329DE">
        <w:t xml:space="preserve"> </w:t>
      </w:r>
      <w:r>
        <w:t>cualidades   de   los triángulos.  Por  consiguiente  al concepto especie “triángulo Escaleno” le acontece –como especie de triángulo- que la suma interna de sus ángulos es de 180º.</w:t>
      </w:r>
    </w:p>
    <w:p w:rsidR="00B81921" w:rsidRDefault="00B81921" w:rsidP="006E0DCF">
      <w:pPr>
        <w:pStyle w:val="Prrafodelista"/>
        <w:numPr>
          <w:ilvl w:val="0"/>
          <w:numId w:val="7"/>
        </w:numPr>
        <w:ind w:left="360"/>
      </w:pPr>
      <w:r>
        <w:t>La implicación lógica se sustenta en la relación natural de causa-efecto</w:t>
      </w:r>
    </w:p>
    <w:p w:rsidR="00B81921" w:rsidRDefault="00B81921" w:rsidP="00B81921">
      <w:r>
        <w:t>En la lógica comprensiva o razonable:</w:t>
      </w:r>
    </w:p>
    <w:p w:rsidR="00B81921" w:rsidRDefault="00B81921" w:rsidP="006E0DCF">
      <w:pPr>
        <w:pStyle w:val="Prrafodelista"/>
        <w:numPr>
          <w:ilvl w:val="0"/>
          <w:numId w:val="5"/>
        </w:numPr>
      </w:pPr>
      <w:r>
        <w:t>La</w:t>
      </w:r>
      <w:r w:rsidR="006E0DCF">
        <w:t xml:space="preserve"> inferencia </w:t>
      </w:r>
      <w:r>
        <w:t>e</w:t>
      </w:r>
      <w:r w:rsidR="006E0DCF">
        <w:t xml:space="preserve">stablece </w:t>
      </w:r>
      <w:r>
        <w:t>una imputación. Es decir, una designación de enlace específico entre un hecho y una consecuencia. Tal designación es convencional.</w:t>
      </w:r>
    </w:p>
    <w:p w:rsidR="00B81921" w:rsidRDefault="00B81921" w:rsidP="006E0DCF">
      <w:pPr>
        <w:pStyle w:val="Prrafodelista"/>
        <w:numPr>
          <w:ilvl w:val="0"/>
          <w:numId w:val="5"/>
        </w:numPr>
      </w:pPr>
      <w:r>
        <w:t>La imputación no encuentra causas y efectos como reglas en la naturaleza, sino que expresa una implicación arbitraria,   que   puede   considerarse com</w:t>
      </w:r>
      <w:r w:rsidR="006E0DCF">
        <w:t>o una relación de designación,</w:t>
      </w:r>
      <w:r w:rsidR="006E0DCF">
        <w:rPr>
          <w:rStyle w:val="Refdenotaalpie"/>
        </w:rPr>
        <w:footnoteReference w:id="30"/>
      </w:r>
      <w:r>
        <w:t xml:space="preserve"> respecto   a   la</w:t>
      </w:r>
      <w:r w:rsidR="005329DE">
        <w:t xml:space="preserve"> </w:t>
      </w:r>
      <w:r>
        <w:t>disposición  de   los individuos.</w:t>
      </w:r>
      <w:r w:rsidR="006E0DCF">
        <w:t xml:space="preserve"> </w:t>
      </w:r>
      <w:r>
        <w:t>(La relación  de  una  idea con</w:t>
      </w:r>
      <w:r>
        <w:tab/>
        <w:t>otra</w:t>
      </w:r>
      <w:r w:rsidR="005329DE">
        <w:t xml:space="preserve"> </w:t>
      </w:r>
      <w:r w:rsidR="006E0DCF">
        <w:t xml:space="preserve">es </w:t>
      </w:r>
      <w:r>
        <w:t>una designación meramente convenida sobre lo dispuesto por actos humanos)</w:t>
      </w:r>
    </w:p>
    <w:p w:rsidR="00B81921" w:rsidRDefault="00B81921" w:rsidP="006E0DCF">
      <w:pPr>
        <w:pStyle w:val="Prrafodelista"/>
        <w:numPr>
          <w:ilvl w:val="0"/>
          <w:numId w:val="5"/>
        </w:numPr>
      </w:pPr>
      <w:r>
        <w:lastRenderedPageBreak/>
        <w:t>Una  norma  entraña  a  otra  norma según un  vínculo de aplicación. Por ejemplo</w:t>
      </w:r>
      <w:r w:rsidR="006E0DCF">
        <w:t>: que</w:t>
      </w:r>
      <w:r>
        <w:t xml:space="preserve">  los  contribuyentes paguen el 16% de impuesto al valor agregado. El monto específico no se infiere materialmente de la condición de contribuyente. Es claro que no se infiere   naturalmente,   porque   puede</w:t>
      </w:r>
      <w:r w:rsidR="006E0DCF">
        <w:t xml:space="preserve"> </w:t>
      </w:r>
      <w:r>
        <w:t>variar  la   disposición de  tiempo  en tiempo y de lugar a lugar.</w:t>
      </w:r>
    </w:p>
    <w:p w:rsidR="00B81921" w:rsidRDefault="00B81921" w:rsidP="006E0DCF">
      <w:pPr>
        <w:pStyle w:val="Prrafodelista"/>
        <w:numPr>
          <w:ilvl w:val="0"/>
          <w:numId w:val="5"/>
        </w:numPr>
      </w:pPr>
      <w:r>
        <w:t>La implicación lógica se sustenta en la relación exclusivamente formal de una norma, como jerárquicamente superior a otra inferior. Es una arbitraria relación de antecedente y consecuente.</w:t>
      </w:r>
    </w:p>
    <w:p w:rsidR="00B81921" w:rsidRDefault="00B81921" w:rsidP="006E0DCF">
      <w:pPr>
        <w:pStyle w:val="Ttulo3"/>
      </w:pPr>
      <w:bookmarkStart w:id="14" w:name="_Toc81161304"/>
      <w:r>
        <w:t>2.1.1. Inferencia de conceptos</w:t>
      </w:r>
      <w:bookmarkEnd w:id="14"/>
    </w:p>
    <w:p w:rsidR="00B81921" w:rsidRDefault="00B81921" w:rsidP="00B81921">
      <w:r>
        <w:t>Inferre  lo  empleaban  los  lógicos medievales para determinar la relación causa-efecto como una relación o consequentia. De dos proposiciones, la primera antecede e implica a la segunda como consecuente.</w:t>
      </w:r>
    </w:p>
    <w:p w:rsidR="00B81921" w:rsidRDefault="00B81921" w:rsidP="00B81921">
      <w:r>
        <w:t>Tal como hemos revisado, los conceptos en orden  a  que  son  autorreferentes, permiten derivar de ellos conceptos autorreferentes.</w:t>
      </w:r>
    </w:p>
    <w:p w:rsidR="00B81921" w:rsidRDefault="00B81921" w:rsidP="00B81921">
      <w:r>
        <w:t>En todos los triángulos la suma interna de ángulos es de 180º.</w:t>
      </w:r>
    </w:p>
    <w:p w:rsidR="00B81921" w:rsidRDefault="00B81921" w:rsidP="00B81921">
      <w:r>
        <w:t>El  triángulo  Isósceles  es  un triángulo.</w:t>
      </w:r>
    </w:p>
    <w:p w:rsidR="00B81921" w:rsidRDefault="00B81921" w:rsidP="00B81921">
      <w:r>
        <w:t>Por lo tanto el triángulo Isósceles tiene  una  suma  interna de  ángulos que da 180º.</w:t>
      </w:r>
    </w:p>
    <w:p w:rsidR="00B81921" w:rsidRDefault="00B81921" w:rsidP="00B81921">
      <w:r>
        <w:t xml:space="preserve">Lo que se predica de un concepto género, se predica también del concepto especie de ese concepto género. Esto explica la razón de </w:t>
      </w:r>
      <w:r>
        <w:lastRenderedPageBreak/>
        <w:t>considerar como categoría conceptual el que “todos los hombres son mortales”, pues todos los seres humanos somos  mortales.  Lo  que  se  predica  de todo el género, también se predica de la especie o de un individuo que forma parte de la especie: “Sócrates es hombre”, entonces “Sócrates es mortal”.</w:t>
      </w:r>
    </w:p>
    <w:p w:rsidR="00B81921" w:rsidRDefault="00B81921" w:rsidP="00B81921">
      <w:r>
        <w:t xml:space="preserve">De esta misma manera, esta lógica de inferencia se aplica a principios éticos, pues el  principio  se  aplica  –sin excepción- a todos los casos particulares que son especie de la máxima ética. Por ejemplo: “Ama a tu prójimo” es un principio que se aplica a “cuida a los enfermos”, “educa a </w:t>
      </w:r>
    </w:p>
    <w:p w:rsidR="00B81921" w:rsidRDefault="00B81921" w:rsidP="00B81921">
      <w:r>
        <w:t>tus hijos”, “ama a tu esposa”, incluso “no hagas a otros lo que no quieres que te hagan a ti.” Ahora bien esta lógica de inferencia que funciona en conceptos y en preceptos  éticos,  no  es  la  misma  que opera en el campo de la lógica comprensiva del derecho y las ciencias sociales.</w:t>
      </w:r>
    </w:p>
    <w:p w:rsidR="00B81921" w:rsidRDefault="00B81921" w:rsidP="00B81921">
      <w:r>
        <w:t xml:space="preserve">El que una norma pertenezca a un determinado orden se debe únicamente a que su validez puede reconducirse a la norma fundamental constitutiva de dicho orden. Según sea el tipo de norma fundamental –esto es según sea la naturaleza del principio supremo de validez- podrán  distinguirse  dos especies de orden. Las normas del primer tipo “valen” –lo que quiere decir que la conducta en ellas especificada ha de considerarse como debida- en virtud de su valor intrínseco, a causa  de  que  el  contenido  de esas normas posee la </w:t>
      </w:r>
      <w:r>
        <w:lastRenderedPageBreak/>
        <w:t>calidad, evidente de inmediato, que les confiere validez, una cualidad interna que las normas adquieren en la medida en que pueden ser reconducidas a una norma fundamental de tal manera que su contenido pueda subsumirse en el contenido de esta al modo como lo particular queda subsumido en lo general.</w:t>
      </w:r>
    </w:p>
    <w:p w:rsidR="00B81921" w:rsidRDefault="00B81921" w:rsidP="00B81921">
      <w:r>
        <w:t>…</w:t>
      </w:r>
      <w:r w:rsidR="005329DE">
        <w:t xml:space="preserve"> </w:t>
      </w:r>
      <w:r>
        <w:t>A  este  tipo  de  normas</w:t>
      </w:r>
      <w:r w:rsidR="006E0DCF">
        <w:t xml:space="preserve"> </w:t>
      </w:r>
      <w:r>
        <w:t>pertenecen las normas morales. Normas como, por ejemplo; “no debes mentir”, “no debes engañar”, “debes cumplir lo prometido”, etc., derivan de la norma fundamental de la veracidad. Normas como   “no debes causar daños a los otros”,</w:t>
      </w:r>
      <w:r w:rsidR="006E0DCF">
        <w:t xml:space="preserve"> “debes socorrer a los demás en </w:t>
      </w:r>
      <w:r>
        <w:t>caso de que estén necesitados”, etc., pueden ser reconducidas a la norma fundamental que proclama “debes amar a los demás”… Las múltiples normas que componen una moral determinada  están  ya contenidas en su norma fundamental del mismo modo que lo particular se encuentra contenido en lo general y por consiguiente todas las normas morales podrán obtenerse a partir de la norma fundamental de carácter general   mediante una operación deductiva que de lo general vaya a lo particular. La norma fundamental tiene en la moral u</w:t>
      </w:r>
      <w:r w:rsidR="006E0DCF">
        <w:t>n carácter estático- material.</w:t>
      </w:r>
      <w:r w:rsidR="006E0DCF">
        <w:rPr>
          <w:rStyle w:val="Refdenotaalpie"/>
        </w:rPr>
        <w:footnoteReference w:id="31"/>
      </w:r>
    </w:p>
    <w:p w:rsidR="00B81921" w:rsidRDefault="00B81921" w:rsidP="00B81921">
      <w:r>
        <w:t xml:space="preserve">Es un error considerar que las normas jurídicas son semejantes a las normas de orden moral o a las del orden conceptual. Esto es debido a que los contenidos materiales  –las  cualidades  internas-  de las normas </w:t>
      </w:r>
      <w:r>
        <w:lastRenderedPageBreak/>
        <w:t>morales derivan, a su vez, de los contenidos de las normas morales fundamentales primeras de las que derivan. Las normas secundarias se sustentan en normas primarias. Unas operan como causas y otras como efectos; entendiendo como “efecto” el padecer como especie, la acción causal de un principio   género.   En   el   campo   del Derecho y de las ciencias sociales tal relación  no  existe  con  claridad conceptual. Y precisamente es variable y en gran parte subjetiva. Por esta razón no se habla de relación causa-efecto, sino de imputación. Lo que se subsume de las disposiciones  jerárquicas  superiores  es</w:t>
      </w:r>
      <w:r w:rsidR="006E0DCF">
        <w:t xml:space="preserve"> por implicaciones </w:t>
      </w:r>
      <w:r>
        <w:t>formales,</w:t>
      </w:r>
      <w:r w:rsidR="006E0DCF">
        <w:t xml:space="preserve"> </w:t>
      </w:r>
      <w:r>
        <w:t>no materiales.</w:t>
      </w:r>
    </w:p>
    <w:p w:rsidR="00B81921" w:rsidRDefault="00B81921" w:rsidP="00B81921">
      <w:r>
        <w:t>Podemos designar el enlace específico de hecho y consecuencia con el nombre de imputación, distinguiéndolo así con toda pulcritud, incluso desde el punto de vista terminológico de la causalidad, que es el enlace de elementos dentro del sistema de naturaleza […] El concepto jurídico   de   la  imputación   no expresa sino el enlace formal entre los hechos condicionante y condicionado, y se distingue clarament</w:t>
      </w:r>
      <w:r w:rsidR="006E0DCF">
        <w:t>e, como la relación normativa.</w:t>
      </w:r>
      <w:r w:rsidR="006E0DCF">
        <w:rPr>
          <w:rStyle w:val="Refdenotaalpie"/>
        </w:rPr>
        <w:footnoteReference w:id="32"/>
      </w:r>
    </w:p>
    <w:p w:rsidR="00B81921" w:rsidRDefault="00B81921" w:rsidP="00B81921">
      <w:r>
        <w:t xml:space="preserve">La imputación es un nexo normativo, no uno causal. La imputación  es  una  operación  que no está restringida al pensamiento jurídico.  Es  el  fundamento principal de cualquier cognición cuyo objeto es un orden normativo de la conducta humana o de una sociedad constituida por un </w:t>
      </w:r>
      <w:r>
        <w:lastRenderedPageBreak/>
        <w:t>orden normativo.  Juega  un  papel decisivo en el pensamiento primitivo. El hombre primitivo no interpreta  la  naturaleza  de acuerdo con el principio de causalidad, sino conforme al principio de imputación. Interpreta su relación con los animales y con los objetos inanimados de acuerdo con la Ley que determina sus relaciones con otros hombres, el principio de retribución. Esta es la norma:  si  tu  conducta  es  mala, debes ser castigado, si tu conducta es buena, debes ser recompensado. El hombre primitivo concibe a la</w:t>
      </w:r>
      <w:r w:rsidR="006E0DCF">
        <w:t xml:space="preserve"> </w:t>
      </w:r>
      <w:r>
        <w:t>naturaleza, no como un orden causal,  sino  como uno  normativo establecido</w:t>
      </w:r>
      <w:r w:rsidR="006E0DCF">
        <w:t xml:space="preserve"> por una voluntad sobrehumana.</w:t>
      </w:r>
      <w:r w:rsidR="006E0DCF">
        <w:rPr>
          <w:rStyle w:val="Refdenotaalpie"/>
        </w:rPr>
        <w:footnoteReference w:id="33"/>
      </w:r>
    </w:p>
    <w:p w:rsidR="00B81921" w:rsidRDefault="00B81921" w:rsidP="00B81921">
      <w:r>
        <w:t>Las ciencias del objeto material (físicas y biológicas) descansan en la relación esencial de causalidad, que se extiende hasta las partes de la psicología concerniente a los comportamientos. En cambio, los hechos de conciencia no incumben a la causalidad (por falta de estructura espacial, de sustancia, de masas, de fuerzas, de energías, de trabajo, etc., si se toman estas nociones en su acepción auténtica y métrica, y no metafórica): se caracterizan, esencialmente, por el hecho de contener “significaciones”, y no se pude decir que una significación sea “causa” de otra, sino que la arrastra o la implica, lo que es muy diferente. Del mismo modo,  un  sentimiento,  un  valor, una obligación, etc., no son causas</w:t>
      </w:r>
      <w:r w:rsidR="006E0DCF">
        <w:t xml:space="preserve"> </w:t>
      </w:r>
      <w:r>
        <w:t>–como estados de conciencia–, sino</w:t>
      </w:r>
    </w:p>
    <w:p w:rsidR="00B81921" w:rsidRDefault="00B81921" w:rsidP="00B81921">
      <w:r>
        <w:lastRenderedPageBreak/>
        <w:t>que arrastran otros sentimientos o valores mediante una especie de implicación entre valores (en el terreno jurídico, Kelsen</w:t>
      </w:r>
      <w:r w:rsidR="006E0DCF">
        <w:t xml:space="preserve"> los llama “imputaciones”) […]</w:t>
      </w:r>
      <w:r w:rsidR="006E0DCF">
        <w:rPr>
          <w:rStyle w:val="Refdenotaalpie"/>
        </w:rPr>
        <w:footnoteReference w:id="34"/>
      </w:r>
    </w:p>
    <w:p w:rsidR="006E0DCF" w:rsidRDefault="006E0DCF" w:rsidP="00B81921">
      <w:r>
        <w:t xml:space="preserve"> </w:t>
      </w:r>
      <w:r w:rsidR="00B81921">
        <w:t>[…] A este respecto define una relación, distinta de la causalidad, pero comparable a la implicación</w:t>
      </w:r>
      <w:r>
        <w:t xml:space="preserve"> </w:t>
      </w:r>
      <w:r w:rsidR="00B81921">
        <w:t>lógica, y que él [Kelsen] denomina la “imputación”: imputación “periférica” cuando se imputa un acto a la norma, en el caso de un delito, por ejemplo; o “central” cuando un estado de hecho es atribuido a una norma: en este sentido   la   persona   física   es  a fortiori moral, hay que concebirla c</w:t>
      </w:r>
      <w:r>
        <w:t>omo un centro de imputaciones.</w:t>
      </w:r>
      <w:r>
        <w:rPr>
          <w:rStyle w:val="Refdenotaalpie"/>
        </w:rPr>
        <w:footnoteReference w:id="35"/>
      </w:r>
    </w:p>
    <w:p w:rsidR="00B81921" w:rsidRDefault="00B81921" w:rsidP="006E0DCF">
      <w:pPr>
        <w:pStyle w:val="Ttulo3"/>
      </w:pPr>
      <w:bookmarkStart w:id="15" w:name="_Toc81161305"/>
      <w:r>
        <w:t>2.1.2. La inferencia de nociones</w:t>
      </w:r>
      <w:bookmarkEnd w:id="15"/>
    </w:p>
    <w:p w:rsidR="00B81921" w:rsidRDefault="00B81921" w:rsidP="00B81921">
      <w:r>
        <w:t xml:space="preserve">En el campo de las ciencias sociales las normas no derivan de otras superiores materialmente, ni por sus cualidades internas; sino sólo formalmente. Las normas jurídicas operan al modo de nociones; que también son llamadas “conceptos tipo” o “conceptos indeterminados”. La subsunción o inferencia que se lleva a cabo de una noción a otra, o bien de una norma a una resolución jurídica, en cuanto a su contenido material, depende de la experiencia acumulada “valorativa” del operador   jurídico;   y   cómo   éste   la dispone. Los contenidos objeto de </w:t>
      </w:r>
      <w:r>
        <w:lastRenderedPageBreak/>
        <w:t>subsunción   no   se   encuentran   en   sí mismos ubicados como “cualidades internas” en las normas jurídicas ni en las nociones. Los contenidos están ubicados en la experiencia práctica como una especie de conocimiento estadístico práctico. Conserva lo aprendido como un bagaje de experiencia acumulada. Los griegos  le  llamaban  phronesis.  Y  entre toda la carga acumulada de experiencia, el operador jurídico dispone de ella para imputar una situación.</w:t>
      </w:r>
    </w:p>
    <w:p w:rsidR="00B81921" w:rsidRDefault="00B81921" w:rsidP="00B81921">
      <w:r>
        <w:t>Son  contenidos  variables  que  se generaron como experiencias personales</w:t>
      </w:r>
      <w:r w:rsidR="006E0DCF">
        <w:t xml:space="preserve"> </w:t>
      </w:r>
      <w:r>
        <w:t>en cada uno. El contenido de la subsunción es producto de una lógica de razonabilidad que se vincula a experiencias endopáticas y vivenciales subjetivas. El bagaje de conocimiento de cada operador judicial es distinto. En el campo de la lógica comprensiva es el sentido material valorativo-subjetivo –en el bagaje de experiencia acumulada del operador jurídico- el que implica o infiere por comprensión experimentada. Sobre esto Max Weber afirma que las reglas jurídicas no tienen valor material por sí mismas.  Mediante  ellas  podemos observar -cómo si se tratara de un microscopio, el desplazamiento de las fuerzas e intereses jurídicos y antijurídicos. Tales fuerzas, Weber las considera como seres fácticos.</w:t>
      </w:r>
    </w:p>
    <w:p w:rsidR="00B81921" w:rsidRDefault="006E0DCF" w:rsidP="00B81921">
      <w:r>
        <w:t xml:space="preserve"> </w:t>
      </w:r>
      <w:r w:rsidR="00B81921">
        <w:t xml:space="preserve">“La regla jurídica concebida como “idea” no corresponde a ninguna “regularidad” empírica o a una “regulación”, sino, a una norma que puede ser pensada como “obligatoriamente válida”. Por lo tanto, la </w:t>
      </w:r>
      <w:r w:rsidR="00B81921">
        <w:lastRenderedPageBreak/>
        <w:t xml:space="preserve">norma no es ninguna forma determinada del ser, sino un criterio de valor, en el cual se mide evaluativamente al ser fáctico, cuando queremos </w:t>
      </w:r>
      <w:r>
        <w:t>llegar a la “verdad jurídica”</w:t>
      </w:r>
      <w:r>
        <w:rPr>
          <w:rStyle w:val="Refdenotaalpie"/>
        </w:rPr>
        <w:footnoteReference w:id="36"/>
      </w:r>
    </w:p>
    <w:p w:rsidR="00B81921" w:rsidRDefault="00B81921" w:rsidP="00B81921">
      <w:r>
        <w:t xml:space="preserve">Siendo el sentido material sesgado en la norma por los operadores jurídicos, la fuerza fáctica –la intención- de las reglas jurídicas pertenecen al mundo del “Ser”; mientras que la pura estructura enunciativa formal corresponde al plano del “Deber ser”. En este sentido el aspecto formal del derecho es explicativo, </w:t>
      </w:r>
      <w:r w:rsidR="006E0DCF">
        <w:t xml:space="preserve">mientras que </w:t>
      </w:r>
      <w:r>
        <w:t>el</w:t>
      </w:r>
      <w:r w:rsidR="006E0DCF">
        <w:t xml:space="preserve"> aspecto material </w:t>
      </w:r>
      <w:r>
        <w:t>es</w:t>
      </w:r>
      <w:r w:rsidR="006E0DCF">
        <w:t xml:space="preserve"> </w:t>
      </w:r>
      <w:r>
        <w:t>interpretativo.</w:t>
      </w:r>
    </w:p>
    <w:p w:rsidR="00B81921" w:rsidRDefault="00B81921" w:rsidP="00B81921">
      <w:r>
        <w:t>“Un valor existe cuando un interés, es decir, un hecho psíquico, existe. Deja de existir cuando este hecho desaparece o cambia. {…} El interés puede ser el propio interés de la persona que hace el juicio o el interés de alguna otra persona. Desde este punto de vista, el objeto de un juicio de valor siempre se forma por el efectivo interés de alguien. El juicio no es una proposición del “deber</w:t>
      </w:r>
      <w:r w:rsidR="006E0DCF">
        <w:t xml:space="preserve"> ser”,   sino   del   “ser”.</w:t>
      </w:r>
      <w:r w:rsidR="006E0DCF">
        <w:rPr>
          <w:rStyle w:val="Refdenotaalpie"/>
        </w:rPr>
        <w:footnoteReference w:id="37"/>
      </w:r>
      <w:r w:rsidR="006E0DCF">
        <w:t xml:space="preserve"> </w:t>
      </w:r>
      <w:r>
        <w:t xml:space="preserve">{…} Desde el momento en que la norma jurídica cobra por primera  vez  existencia cuando el procedimiento legislativo se ha cumplido, su “existencia” no puede consistir en la voluntad de los miembros del cuerpo legislativo.  Un  jurista  que quiere establecer la “existencia” de   una   norma   jurídica,   de ningún modo trata de probar la existencia de un fenómeno </w:t>
      </w:r>
      <w:r>
        <w:lastRenderedPageBreak/>
        <w:t>psicológico.  La  existencia  de una norma no es un fenómeno psicológico.  Un  jurista considera a una ley como “existente” aun cuando los sujetos que la crearon no sigan queriendo el contenido de la misma y aun cuando nadie siga queriendo   su   contenido.   Es muy posible, y frecuentemente así sucede, que la ley exista cuando los que la crearon han m</w:t>
      </w:r>
      <w:r w:rsidR="006E0DCF">
        <w:t xml:space="preserve">uerto  y  no  les  sea  posible </w:t>
      </w:r>
      <w:r>
        <w:t>tener ningu</w:t>
      </w:r>
      <w:r w:rsidR="006E0DCF">
        <w:t>na clase de voluntad.”</w:t>
      </w:r>
      <w:r w:rsidR="006E0DCF">
        <w:rPr>
          <w:rStyle w:val="Refdenotaalpie"/>
        </w:rPr>
        <w:footnoteReference w:id="38"/>
      </w:r>
    </w:p>
    <w:p w:rsidR="00B81921" w:rsidRDefault="00B81921" w:rsidP="00B81921">
      <w:r>
        <w:t>Desde esta perspectiva, la seguridad jurídica debe comprenderse como seguridad normativa formal; es decir, por lo menos formalmente como enunciado nocional la norma será vigente. Ahora bien, la seguridad jurídica no implica un riguroso contenido material de cada una de las normas. Prudentemente deja cierto margen  de  posibilidades  de interpretación a cada norma o noción jurídica. Gracias a ello, los operadores jurídicos  pueden  adecuar  los fundamentos  legales  a  cada  caso particular que deban resolver. Si las normas o nociones jurídicas tuvieran un contenido  material  específico  y conceptual,  su  aplicación  sería  inexacta en cada caso. Pues las variables circunstanciales jamás se ajustarían a dicho contenido conceptual, más que excepcionalmente.</w:t>
      </w:r>
    </w:p>
    <w:p w:rsidR="00B81921" w:rsidRDefault="00B81921" w:rsidP="00B81921">
      <w:r>
        <w:t xml:space="preserve">La interpretación jurídico- científica  no  puede  sino exponer  los  significados posibles de una norma jurídica. Como  conocimiento  de  su </w:t>
      </w:r>
      <w:r>
        <w:lastRenderedPageBreak/>
        <w:t>objeto, no puede adoptar ninguna decisión entra las posibilidades expuestas, teniendo que dejar esta decisión al órgano jurídico competente, según el orden jurídico, para aplicar el Derecho. (…) La interpretación  científico- jurídica tiene que evitar, con el mayor cuidado, la ficción de que una norma jurídica siempre admite sólo un sentido, el sentido “correcto”. Se trata de una ficción de la que se sirve la jurisprudencia tradicional para mantener  el  ideal  de  la seguridad jurídica. Dada la multiplicidad de sentidos de la mayoría  de  las  normas jurídicas, este ideal sólo puede cumplirse  aproximadamente. No se negará que esta ficción del sentido unívoco de las normas jurídicas puede tener grandes ventajas desde algún punto de vista político. Pero ningún prejuicio político puede justificar que se haga uso de esa ficción en una exposición científica del Derecho positivo, al proclamarse una interpretación, que desde el punto de vista subjetivo- político, es más deseable que otra   interpretación, lógicamente igualmente posible como la única correcta desde un punto de vista científico- objetivo. Puesto que así se presenta lo que sólo es un juicio de valor político, falsame</w:t>
      </w:r>
      <w:r w:rsidR="006E0DCF">
        <w:t>nte como una verdad científica.</w:t>
      </w:r>
      <w:r w:rsidR="006E0DCF">
        <w:rPr>
          <w:rStyle w:val="Refdenotaalpie"/>
        </w:rPr>
        <w:footnoteReference w:id="39"/>
      </w:r>
    </w:p>
    <w:p w:rsidR="006E0DCF" w:rsidRDefault="006E0DCF">
      <w:pPr>
        <w:widowControl/>
        <w:autoSpaceDE/>
        <w:autoSpaceDN/>
        <w:spacing w:after="200" w:line="276" w:lineRule="auto"/>
        <w:rPr>
          <w:b/>
          <w:sz w:val="32"/>
          <w:szCs w:val="60"/>
        </w:rPr>
      </w:pPr>
      <w:r>
        <w:br w:type="page"/>
      </w:r>
    </w:p>
    <w:p w:rsidR="00B81921" w:rsidRDefault="00B81921" w:rsidP="006E0DCF">
      <w:pPr>
        <w:pStyle w:val="Ttulo1"/>
      </w:pPr>
      <w:bookmarkStart w:id="16" w:name="_Toc81161306"/>
      <w:r>
        <w:lastRenderedPageBreak/>
        <w:t>3.  FORMALIZACIÓN  LÓGICA  DE LO RAZONABLE</w:t>
      </w:r>
      <w:bookmarkEnd w:id="16"/>
    </w:p>
    <w:p w:rsidR="00B81921" w:rsidRDefault="00B81921" w:rsidP="00B81921">
      <w:r>
        <w:t>¿Existe alguna forma de evaluar formalmente la calidad de un planteamiento de la lógica de lo razonable? Para contestar esta pregunta debemos  de  partir  de  lo  siguiente: la lógica</w:t>
      </w:r>
      <w:r w:rsidR="006E0DCF">
        <w:t xml:space="preserve"> </w:t>
      </w:r>
      <w:r>
        <w:t>de lo razonable se expresa mediante una forma narrativa verosímil, pero no claramente verdadera. Es decir, parece correcto  y  verdadero  lo  que  se narra,  pero  no  se  tiene  en  ello  una garantía objetiva. La razón de esto es que</w:t>
      </w:r>
      <w:r w:rsidR="006E0DCF">
        <w:t xml:space="preserve"> </w:t>
      </w:r>
      <w:r>
        <w:t>la lógica de lo razonable incluye en su carácter  de  conocimiento  comprensivo, juicios de valor y estimaciones variables. Es decir, los términos que emplea tienen una carga de subjetividad.</w:t>
      </w:r>
    </w:p>
    <w:p w:rsidR="00B81921" w:rsidRDefault="00B81921" w:rsidP="00B81921">
      <w:r>
        <w:t>Ahora bien, la lógica formal podría brindar carácter de verdadero a una narración verosímil, pero sólo puede hacerlo desde el punto de vista formal. Pues aunque no razonamos mediante modelos lógicos, ciertamente los modelos lógicos  permiten  verificar  formalmente las  enunciaciones  narrativas  que expresan las ideas procesadas mediante la lógica de lo razonable.</w:t>
      </w:r>
    </w:p>
    <w:p w:rsidR="00B81921" w:rsidRDefault="00B81921" w:rsidP="00B81921">
      <w:r>
        <w:t>Se trata de una operación semejante a la del álgebra, en el que operamos con variables y no con valores específicos: X+Y=Z. En este ejemplo no atendemos a los valores subjetivos que pudieran tener X, Y ó Z. Sin embargo sabemos que cada vez que llevemos a cabo la unión de X+Y tendremos por resultado Z. Esta es una verificación formal.</w:t>
      </w:r>
    </w:p>
    <w:p w:rsidR="00B81921" w:rsidRDefault="00B81921" w:rsidP="00B81921"/>
    <w:p w:rsidR="00B81921" w:rsidRDefault="00B81921" w:rsidP="00B81921">
      <w:r>
        <w:lastRenderedPageBreak/>
        <w:t>En el campo jurídico la formalización equipara nociones a variables. Y así como se puede enunciar X+Y=Z, en el derecho puede enunciarse lo siguiente:</w:t>
      </w:r>
    </w:p>
    <w:p w:rsidR="00B81921" w:rsidRDefault="00B81921" w:rsidP="00B81921">
      <w:r>
        <w:t>Violencia + a una mujer por ser mujer = Violencia de Género</w:t>
      </w:r>
    </w:p>
    <w:p w:rsidR="00B81921" w:rsidRDefault="00B81921" w:rsidP="00B81921">
      <w:r>
        <w:t>La palabra “violencia” no tiene un contenido material específico. Es una noción abierta con cierto margen de interpretaciones. Varía su contenido dependiendo de cada caso y cada evento en el que se percibe. Es decir, no todos los</w:t>
      </w:r>
      <w:r w:rsidR="006E0DCF">
        <w:t xml:space="preserve"> </w:t>
      </w:r>
      <w:r>
        <w:t>que</w:t>
      </w:r>
      <w:r w:rsidR="006E0DCF">
        <w:t xml:space="preserve"> </w:t>
      </w:r>
      <w:r>
        <w:t>llevan</w:t>
      </w:r>
      <w:r w:rsidR="006E0DCF">
        <w:t xml:space="preserve"> </w:t>
      </w:r>
      <w:r>
        <w:t>a cabo un acto de “violencia” lo llevan a cabo de la misma forma material. Por otra parte, las palabras “ser mujer” pueden tener varias interpretaciones. Se puede hablar desde el punto de vista físico, algún perfil psicológico,   hormonal,   cultural,   etc… pero  es  claro  que  no  existe  una  sola forma de ser mujer. Ahora bien, sabemos - formalmente hablando- que cada vez que se dé violencia a una mujer por ser mujer, ser cumple el tipo “violencia de género”. Término variable en sí mismo, porque tampoco existe una sola forma material de hacer violencia de género. La lógica formal en el campo del derecho opera no con contenidos valorativos materiales, sino  sólo  con  formulaciones  con variables.</w:t>
      </w:r>
    </w:p>
    <w:p w:rsidR="00B81921" w:rsidRDefault="00B81921" w:rsidP="00B81921">
      <w:r>
        <w:t>Hay que distinguir este razonamiento lógico formal con variables, del razonamiento lógico con valores conceptuales   o   absolutos.   En   estos últimos  el  contenido  material  coincide con su contenido formal. Por ejemplo 2 +</w:t>
      </w:r>
      <w:r w:rsidR="006E0DCF">
        <w:t xml:space="preserve"> </w:t>
      </w:r>
      <w:r>
        <w:t>6 =   8. El valor de 2 sabemos que sólo</w:t>
      </w:r>
      <w:r w:rsidR="006E0DCF">
        <w:t xml:space="preserve"> </w:t>
      </w:r>
      <w:r>
        <w:t xml:space="preserve">puede ser 2. El </w:t>
      </w:r>
      <w:r>
        <w:lastRenderedPageBreak/>
        <w:t>valor de 6 sólo es 6 y el de</w:t>
      </w:r>
      <w:r w:rsidR="006E0DCF">
        <w:t xml:space="preserve"> </w:t>
      </w:r>
      <w:r>
        <w:t>8 sólo 8. De esta misma manera H2O contiene elementos cuyo valor coincide con sus formas. En las ciencias sociales y,</w:t>
      </w:r>
      <w:r w:rsidR="006E0DCF">
        <w:t xml:space="preserve"> </w:t>
      </w:r>
      <w:r>
        <w:t>en especial con el Derecho, los valores no coinciden exactamente con sus formas.</w:t>
      </w:r>
    </w:p>
    <w:p w:rsidR="00B81921" w:rsidRDefault="00B81921" w:rsidP="00B81921">
      <w:r>
        <w:t xml:space="preserve">Ahora bien, regresemos al punto fundamental: ¿Existe un medio para transformar la narración verosímil en lógica formal? ¿Existe alguna manera de trasladar lo comprendido por la lógica de lo razonable en una fórmula de lógica racional? La respuesta la encontramos en Vladimir Propp quien sostiene que la expresión lógico formal de un razonamiento, depende de cómo se lleve a cabo una narración. Y esto es posible debido a que como él mismo lo señala: “las partes de una historia narrada son funciones. Por esta razón las narraciones sirven como los primeros interpretantes </w:t>
      </w:r>
      <w:r w:rsidR="006E0DCF">
        <w:t>de las proposiciones lógicas”.</w:t>
      </w:r>
      <w:r w:rsidR="006E0DCF">
        <w:rPr>
          <w:rStyle w:val="Refdenotaalpie"/>
        </w:rPr>
        <w:footnoteReference w:id="40"/>
      </w:r>
      <w:r>
        <w:t xml:space="preserve"> En otras palabras, en orden a cómo se exprese narrativamente una idea desarrollada mediante </w:t>
      </w:r>
      <w:r w:rsidR="006E0DCF">
        <w:t xml:space="preserve"> la  lógica  de  lo  razonable, </w:t>
      </w:r>
      <w:r>
        <w:t>tal</w:t>
      </w:r>
      <w:r w:rsidR="006E0DCF">
        <w:t xml:space="preserve"> </w:t>
      </w:r>
      <w:r>
        <w:t>narrativa puede trasladarse en una expresión lógico formal.</w:t>
      </w:r>
    </w:p>
    <w:p w:rsidR="00B81921" w:rsidRDefault="00B81921" w:rsidP="00B81921">
      <w:r>
        <w:t xml:space="preserve">Ahora bien, hay que observar que   tal expresión de funciones no es exacta como podría ocurrir en las ciencias exactas. La formalización de narraciones de la física o de  la  matemática  es  prácticamente idéntica debido a que en estos saberes existe una terminología unificada y una clasificación armoniosa. En ellas se emplean conceptos caracterizados </w:t>
      </w:r>
      <w:r>
        <w:lastRenderedPageBreak/>
        <w:t>porque identifican su estructura formal con un contenido  material  específico.  Por ejemplo, el término “ángulo recto” exclusivamente se refiere a un ángulo de</w:t>
      </w:r>
      <w:r w:rsidR="006E0DCF">
        <w:t xml:space="preserve"> </w:t>
      </w:r>
      <w:r>
        <w:t>90º. Hablar del Hidrógeno, exclusivamente se refiere al elemento hidrógeno con sus características invariables y específicas. En el derecho – y en todas las ciencias sociales- nosotros nada  tenemos  que  se  le  asemeje.  El empleo de nociones en nuestros conocimientos sociales implica una viva complejidad de contenidos materiales con los que trabajamos. Por esta razón nos es extremadamente  difícil  plantear  y resolver los problemas con rigor y precisión.</w:t>
      </w:r>
    </w:p>
    <w:p w:rsidR="00B81921" w:rsidRDefault="00B81921" w:rsidP="00B81921">
      <w:r>
        <w:t xml:space="preserve">Los asuntos jurídicos pueden sin duda alguna estudiarse desde varios puntos de vista: a partir de su estructura y su composición; también desde los procesos y cambios que se vinculan con ellos. Sin embargo antes de observarlos y resolverlos  desde  cualquier  perspectiva, en cualquiera de los casos, se debe partir fundamentalmente de su descripción sistemática. Antes de resolver cualquier cosa, debemos responder a la pregunta: “¿Cuál es el problema en cuestión?”. Al llevar a cabo esta pregunta debemos realizar  una  fijación  precisa seleccionando las variantes y los asuntos, con base en los intereses de las partes. Cada asunto es un todo orgánico al que se le puede aislar de una serie de otros asuntos, de tal manera que se puede estudiar  independientemente  del  resto. La expresión argumentativa narrativa - </w:t>
      </w:r>
      <w:r>
        <w:lastRenderedPageBreak/>
        <w:t>que viene de la lógica de lo razonable- por parte de algún operador jurídico, puede verificarse de manera lógico formal, gracias a que las partes de una historia   narrada,   son   funciones   que pueden expresarse en lenguaje lógico formal.</w:t>
      </w:r>
    </w:p>
    <w:p w:rsidR="00B81921" w:rsidRDefault="00B81921" w:rsidP="00B81921">
      <w:r>
        <w:t>La  formalización  de  las  ideas  narradas por un operador jurídico o judicial puede establecer cómo un experto en derecho razonó en un caso concreto y qué tan coherente es su razonamiento. Cualquier experto en lógica puede encontrar el modelo formal que permita avalar lógicamente lo expresado por la narrativa jurídica. Si un silogismo no lo permite, tal vez una proposición condicional lo haga, o cualquier otra forma lógica. Difícilmente podría no encontrarse algún modelo lógico que permita expresar los razonamientos operativos de la mente del experto en Derecho. Ahora bien, es importante señalar que no se debe considerar que tal razonamiento inductivamente   se   convertirá   en   una regla universal que sirva para todo</w:t>
      </w:r>
      <w:r w:rsidR="006E0DCF">
        <w:t xml:space="preserve">s los asuntos  semejantes.  El </w:t>
      </w:r>
      <w:r>
        <w:t>pensamiento social no presenta reglas universales. En todo caso podrá considerarse como parámetros, que cuando se presentase en algunos otros eventos parecidos, podría llegar a formularse como reglas generales. Y precisamente, por tener tal carácter, debe considerar incluso algunos casos de excepció</w:t>
      </w:r>
      <w:r w:rsidR="006E0DCF">
        <w:t>n bajo ciertas circunstancias.</w:t>
      </w:r>
      <w:r w:rsidR="006E0DCF">
        <w:rPr>
          <w:rStyle w:val="Refdenotaalpie"/>
        </w:rPr>
        <w:footnoteReference w:id="41"/>
      </w:r>
    </w:p>
    <w:p w:rsidR="00B81921" w:rsidRDefault="00B81921" w:rsidP="00B81921">
      <w:r>
        <w:t xml:space="preserve">Todo planteamiento narrado a partir de la lógica de lo razonable por </w:t>
      </w:r>
      <w:r>
        <w:lastRenderedPageBreak/>
        <w:t>parte del operador judicial puede ser formalizado</w:t>
      </w:r>
      <w:r w:rsidR="0092543D">
        <w:t xml:space="preserve"> </w:t>
      </w:r>
      <w:r>
        <w:t>mediante la figura de “condicionales”. Es decir,  las  ideas  de los  operadores jurídicos pueden ser expresadas objetivamente mediante la estructura enunciativa: “Si X entonces Y.” Cualquier idea jurídica expresada bajo estos parámetros puede verificarse de manera analítica  y  comprensiva.  En  otras palabras: La narración que expresa la “lógica de lo razonable” se traslada a la lógica analítica y se puede maniobrar en ella con márgenes de posibilidad. Se trata de una forma de reinterpretar la lógica de lo razonable; de una cuantificación simulada  sobre  una  hipótesis  operativa. Es una reproducción improductiva (no empírica) cuyas inferencias desarrolladas analíticamente pueden re-interpretarse empíricamente. Incluso considerando márgenes  de  excepción  a  reglas generales.</w:t>
      </w:r>
    </w:p>
    <w:p w:rsidR="00B81921" w:rsidRDefault="00B81921" w:rsidP="0092543D">
      <w:pPr>
        <w:pStyle w:val="Ttulo2"/>
      </w:pPr>
      <w:bookmarkStart w:id="17" w:name="_Toc81161307"/>
      <w:r>
        <w:t>3.1. LA LÓGICA COMPRENSIVA Y SUS INFERENCIAS: LÓGICA DE “POSIBLES”</w:t>
      </w:r>
      <w:bookmarkEnd w:id="17"/>
    </w:p>
    <w:p w:rsidR="00B81921" w:rsidRDefault="00B81921" w:rsidP="00B81921">
      <w:r>
        <w:t>Toda lógica tiene por objeto construir lenguajes con capacidad expresiva objetiva y con clarid</w:t>
      </w:r>
      <w:r w:rsidR="0092543D">
        <w:t>ad de procesos de inferencia.</w:t>
      </w:r>
      <w:r w:rsidR="0092543D">
        <w:rPr>
          <w:rStyle w:val="Refdenotaalpie"/>
        </w:rPr>
        <w:footnoteReference w:id="42"/>
      </w:r>
      <w:r>
        <w:t xml:space="preserve"> Es decir, la lógica consiste en establecer formas  metodológicas  claras  de relacionar ideas. A partir de estas ideas, en general, debemos entender por lógica el saber de la articulación formal, coherente y correcta de las ideas </w:t>
      </w:r>
      <w:r>
        <w:lastRenderedPageBreak/>
        <w:t>expresadas.</w:t>
      </w:r>
    </w:p>
    <w:p w:rsidR="00B81921" w:rsidRDefault="00B81921" w:rsidP="00B81921">
      <w:r>
        <w:t>Ahora bien, tal como hemos visto si una forma lógica opera mediante conceptos o términos acabados y autorreferentes; el modo de hacer inferencias se encuentra sujeto a los límites de las cualidades de los géneros y especies. Los contenidos objeto de subsunción se encuentran en sí</w:t>
      </w:r>
      <w:r w:rsidR="0092543D">
        <w:t xml:space="preserve"> </w:t>
      </w:r>
      <w:r>
        <w:t>mismos ubicados como “cualidades internas” conceptuales. Por otra parte, si otra forma lógica opera mediante nociones, los términos operan en un margen más amplio e impreciso. No son cualidades,  sino  disposiciones, porque dependen sus contenidos de las intenciones humanas o del sentido de aquellos que las expresan en una circunstancia específica o determinada. Por  otra  parte,  la  lógica  de  conceptos tiene por presupuesto que los observadores se encuentran en un tiempo y espacio uniforme y su percepción de los asuntos es común. En cambio la lógica de nociones considera que cada narrativa sobre un mismo asunto varía su sentido, tiempo y espacio en orden a un interés o creencia.</w:t>
      </w:r>
    </w:p>
    <w:p w:rsidR="00B81921" w:rsidRDefault="00B81921" w:rsidP="00B81921">
      <w:r>
        <w:t xml:space="preserve">En orden a considerar que la voluntad humana no es objeto de determinismos absolutos;  si  se  quiere  operar formalmente el campo de la lógica mediante  disposiciones y  no  sólo  con cualidades; la  estructura  metodológica debe considerar como opción modal: condiciones  variables  y  posibles expuestas  en  enunciaciones condicionales. Por esta razón hay que abordar la “Lógica de posibles” </w:t>
      </w:r>
      <w:r>
        <w:lastRenderedPageBreak/>
        <w:t>que fue desarrollada tanto en la antigüedad por la</w:t>
      </w:r>
      <w:r w:rsidR="0092543D">
        <w:t>s</w:t>
      </w:r>
      <w:r>
        <w:t xml:space="preserve"> </w:t>
      </w:r>
      <w:r w:rsidR="0092543D">
        <w:t xml:space="preserve">Escuelas de </w:t>
      </w:r>
      <w:r>
        <w:t>Megara  y  Estoica,  así como en el mundo contemporáneo con el nombre   de  “lógica   multimodal”.   Ésta tiene dos características básicas:1) Opera con nociones o conceptos indeterminados y 2) se expresa mediante fórmulas condicionales. Efectivamente, poder comprender las operaciones inferenciales multimodales en el Derecho, Leibniz recomendaba la enunciación de los planteamientos jurídicos a modo de condicionales. La condicional es aquella operación en la que se indica la consecuencia coherente que se puede inferir a pa</w:t>
      </w:r>
      <w:r w:rsidR="0092543D">
        <w:t xml:space="preserve">rtir de ciertos elementos </w:t>
      </w:r>
      <w:r>
        <w:t>presentados como antecedentes. Su expresión se enuncia de la siguiente manera: Si algo, entonces cierta consecuencia. En otras palabras: “Si X entonces Y.”</w:t>
      </w:r>
    </w:p>
    <w:p w:rsidR="00B81921" w:rsidRDefault="00B81921" w:rsidP="00B81921">
      <w:r>
        <w:t>Ahora  bien, podemos encontrar  de  una forma análoga, que los lógicos estoicos -y los de Megara- distinguían el razonamiento lógico condicional con conceptos y  cualidades causales del razonamiento  lógico  condicional mediante nociones e imputaciones. De acuerdo al razonamiento estoico, la condicional puede ser abordada desde dos puntos  de  vista</w:t>
      </w:r>
      <w:r w:rsidR="0092543D">
        <w:t>: necessitas</w:t>
      </w:r>
      <w:r>
        <w:t xml:space="preserve">  y  necessitudo. Los antiguos estoicos distinguían las consecuencias racionales –empleando nociones-  de  lo  que  era  necesidad inminente y de lo que era necesario indispensable. Esta segunda responde a la llamada  lógica  de  posibles.  Esta distinción puede enunciarse sintéticamente del siguiente modo: “La necessitas </w:t>
      </w:r>
      <w:r>
        <w:lastRenderedPageBreak/>
        <w:t>atiende a las consecuencias del orden natural, mientras que la necessitudo atiende  a  con</w:t>
      </w:r>
      <w:r w:rsidR="0092543D">
        <w:t>secuencias  de  orden social.”</w:t>
      </w:r>
      <w:r w:rsidR="0092543D">
        <w:rPr>
          <w:rStyle w:val="Refdenotaalpie"/>
        </w:rPr>
        <w:footnoteReference w:id="43"/>
      </w:r>
      <w:r>
        <w:t xml:space="preserve"> Las condiciones necessitudo son imputaciones, mientras que las de necessitas con causales.</w:t>
      </w:r>
    </w:p>
    <w:p w:rsidR="00B81921" w:rsidRDefault="00B81921" w:rsidP="00B81921">
      <w:r>
        <w:t>Lo que es necessitas pertenece a la zona gramatical y del pensamiento en el que encuadran los razonamientos sobre la physis. Lo que pertenece al campo de lo necessitudo es l</w:t>
      </w:r>
      <w:r w:rsidR="0092543D">
        <w:t>o jurídico, social y religioso.</w:t>
      </w:r>
      <w:r w:rsidR="0092543D">
        <w:rPr>
          <w:rStyle w:val="Refdenotaalpie"/>
        </w:rPr>
        <w:footnoteReference w:id="44"/>
      </w:r>
      <w:r w:rsidR="005329DE">
        <w:t xml:space="preserve"> </w:t>
      </w:r>
      <w:r>
        <w:t>La necessitudo se refiere a lo que estrechamente establecen los seres humanos por convicción, tal como la amistad y el comportamiento en negocios urgentes.   Efectivamente,   decimos   que nos vemos necesariamente obligados a reclamar un pago no realizado, o bien estamos obligados a dejar un trabajo, por</w:t>
      </w:r>
      <w:r w:rsidR="0092543D">
        <w:t xml:space="preserve"> </w:t>
      </w:r>
      <w:r>
        <w:t>cuestiones personales. Tales necesidades no son inminentes, sino que están sujetas a la voluntad de aquellos que las desean hacer cumplir. Tal como podemos ver los estoicos distinguían muy bien la lógica de “posibles”   en   cuanto   que   hay   cierto tiempo de necesidad que está condicionada, no a un enunciado precedente, sino al sentido de la propia voluntad de aquellos que quieren que se cumpla o no cierta consecuencia. Cicerón distingue la necesidad absoluta -sobre la cual no se puede deliberar- y la necesidad hipotética (necesitas cum adiunctione) -en la</w:t>
      </w:r>
      <w:r w:rsidR="0092543D">
        <w:t xml:space="preserve"> </w:t>
      </w:r>
      <w:r>
        <w:t xml:space="preserve">pues nada puede cambiarla. Pero si se trata de la necesidad condicionada al deseo </w:t>
      </w:r>
      <w:r>
        <w:lastRenderedPageBreak/>
        <w:t>de evitar o de obtener algo, deberemos considerar lo que esta condición implica de útil o digno...... Pero existen también casos en los que no se dan condiciones semejantes; que los hombres deben morir es una necesidad sin condición; que se alimenten no es necesario si no es con esta condición: “a menos que</w:t>
      </w:r>
      <w:r w:rsidR="0092543D">
        <w:t xml:space="preserve"> no quieran morir de hambre.”</w:t>
      </w:r>
      <w:r w:rsidR="0092543D">
        <w:rPr>
          <w:rStyle w:val="Refdenotaalpie"/>
        </w:rPr>
        <w:footnoteReference w:id="45"/>
      </w:r>
    </w:p>
    <w:p w:rsidR="0092543D" w:rsidRDefault="00B81921" w:rsidP="0092543D">
      <w:r>
        <w:t xml:space="preserve">Por otra parte, creo que ciertas necesidades son condicionadas y otras incondicionadas y absolutas. De hecho no decimos en el mismo sentido: “Es necesario que los habitantes de Casilino se rindan a Anibal” que “Es necesario que Casilino  caiga  en  poder  de Anibal”. En el primer caso la condición es ésta: “A menos que prefieran morir de hambre”, pues si prefieren morir de hambre, la necesidad desaparece.   No ocurre lo mismo en el segundo caso, pues prefieran los habitantes rendirse o soportar el hambre y por tanto morir, Casilino necesariamente caerá en </w:t>
      </w:r>
      <w:r>
        <w:lastRenderedPageBreak/>
        <w:t>poder de Anibal. ¿Qué resultado puede obtenerse de esta distinción? Yo diría que uno muy importante cuando se presenta el segundo caso de necesidad. En efecto, cuando la necesidad no es condicionada no  habrá motivos   para   deliberar   mucho,</w:t>
      </w:r>
      <w:r w:rsidR="0092543D">
        <w:t xml:space="preserve"> que se plantea el problema de la libertad de los actos humanos-</w:t>
      </w:r>
      <w:r w:rsidR="0092543D">
        <w:rPr>
          <w:rStyle w:val="Refdenotaalpie"/>
        </w:rPr>
        <w:footnoteReference w:id="46"/>
      </w:r>
      <w:r w:rsidR="0092543D">
        <w:t xml:space="preserve"> explicándola  del siguiente modo:</w:t>
      </w:r>
    </w:p>
    <w:p w:rsidR="00B81921" w:rsidRDefault="00B81921" w:rsidP="00B81921">
      <w:r>
        <w:t>La lógica de distinción que establece la diferencia de vinculación entre los antecedentes y los consecuentes en la necessitas y en la necessitudo, radica en lo siguiente: La necessitas considera una implicación material</w:t>
      </w:r>
      <w:r w:rsidR="0092543D">
        <w:rPr>
          <w:rStyle w:val="Refdenotaalpie"/>
        </w:rPr>
        <w:footnoteReference w:id="47"/>
      </w:r>
      <w:r>
        <w:t xml:space="preserve"> mientras que la necessitudo contempla una implicación asignada.</w:t>
      </w:r>
    </w:p>
    <w:p w:rsidR="00B81921" w:rsidRDefault="00B81921" w:rsidP="00B81921">
      <w:r>
        <w:t>Para comprender cómo operan los modelos lógicos de inferencia (megárico y estoico) tanto de necessitas como de necessitudo, esquemáticamente se expondrán mediante los cuadrantes propuestos  en  la  geometría  cartesiana. No deja de ser interesante que al buscar un esquema que sintetizara las diferentes formas inferenciales de las escuelas clásicas,  el  modelo  cartesiano  fuera  el más didáctico y simple.</w:t>
      </w:r>
    </w:p>
    <w:p w:rsidR="00B81921" w:rsidRDefault="00B81921" w:rsidP="0092543D">
      <w:pPr>
        <w:pStyle w:val="Ttulo2"/>
      </w:pPr>
      <w:bookmarkStart w:id="18" w:name="_Toc81161308"/>
      <w:r>
        <w:lastRenderedPageBreak/>
        <w:t>3.2.</w:t>
      </w:r>
      <w:r w:rsidR="0092543D">
        <w:t xml:space="preserve"> EXPRESIÓN FORMAL </w:t>
      </w:r>
      <w:r>
        <w:t>DE</w:t>
      </w:r>
      <w:r w:rsidR="0092543D">
        <w:t xml:space="preserve"> </w:t>
      </w:r>
      <w:r>
        <w:t>ENUNCIADOS POSIBLES</w:t>
      </w:r>
      <w:bookmarkEnd w:id="18"/>
    </w:p>
    <w:p w:rsidR="00B81921" w:rsidRDefault="00B81921" w:rsidP="0092543D">
      <w:pPr>
        <w:pStyle w:val="Ttulo3"/>
      </w:pPr>
      <w:bookmarkStart w:id="19" w:name="_Toc81161309"/>
      <w:r>
        <w:t>3.2.1. Modelo de inferencia de necessitudo</w:t>
      </w:r>
      <w:bookmarkEnd w:id="19"/>
    </w:p>
    <w:p w:rsidR="00B81921" w:rsidRDefault="00B81921" w:rsidP="00B81921">
      <w:r>
        <w:t>1) En el eje de las X del plano cartesiano, ubicaremos lo que en formulación de proposición condicional llamamos el antecedente (A). Se leerá: Si algo.</w:t>
      </w:r>
    </w:p>
    <w:p w:rsidR="00B81921" w:rsidRDefault="00B81921" w:rsidP="00B81921">
      <w:r>
        <w:t xml:space="preserve">2) En el eje de las Y, ubicaremos lo consecuente  (C).  Se  </w:t>
      </w:r>
      <w:r w:rsidR="0092543D">
        <w:t xml:space="preserve">leerá: </w:t>
      </w:r>
      <w:r>
        <w:t>Entonces tal situación.</w:t>
      </w:r>
    </w:p>
    <w:p w:rsidR="00B81921" w:rsidRDefault="00B81921" w:rsidP="0092543D">
      <w:r>
        <w:t>En   el   caso   del   cuadrante   superior derecho, tanto el antecedente como el consecuente son positivos o se verifica su existencia. A la proposición establecida con  ambos  valores  positivos  le llamaremos Dicció</w:t>
      </w:r>
      <w:r w:rsidR="0092543D">
        <w:t>n.</w:t>
      </w:r>
      <w:r w:rsidR="0092543D">
        <w:rPr>
          <w:rStyle w:val="Refdenotaalpie"/>
        </w:rPr>
        <w:footnoteReference w:id="48"/>
      </w:r>
      <w:r>
        <w:t xml:space="preserve"> En el cuadrante donde   es   negativo   el   antecedente   y positivo el consecuente, encontraremos lo que proposicionalmente Aristóteles </w:t>
      </w:r>
      <w:r w:rsidR="0092543D">
        <w:t>consideraría una Contradicción.</w:t>
      </w:r>
      <w:r w:rsidR="0092543D">
        <w:rPr>
          <w:rStyle w:val="Refdenotaalpie"/>
        </w:rPr>
        <w:footnoteReference w:id="49"/>
      </w:r>
      <w:r>
        <w:t xml:space="preserve"> Es decir, el antecedente no tiene verificativo como se enuncia en la Dicción, mientras que el consecuente si tiene verificativo como se señala en la Dicción. Por otra parte, el cuadrante donde el antecedente es verdadero y el consecuente es negativo o no tiene verificación, nos señala que estamos en presencia de una Contrariedad. Finalmente, en el último cuadrante donde se niegan el antecedente y el consecuente, encontramos lo que llamaremos  el  Contrario Sensu de  la Dicción.</w:t>
      </w:r>
      <w:r w:rsidR="0092543D">
        <w:t xml:space="preserve"> </w:t>
      </w:r>
    </w:p>
    <w:p w:rsidR="00B81921" w:rsidRDefault="00B81921" w:rsidP="00B81921">
      <w:r>
        <w:lastRenderedPageBreak/>
        <w:t>La forma en que se llevaría a cabo la inferencia en el orden de la necessitudo de un enunciado jurídico, sería la siguiente. Tomemos por ejemplo el artículo 22 del Código Civil Federal en el cual se señala:</w:t>
      </w:r>
    </w:p>
    <w:p w:rsidR="00B81921" w:rsidRDefault="00B81921" w:rsidP="00B81921">
      <w:r>
        <w:t>Artículo 22. La capacidad jurídica de las personas físicas se adquiere por el  nacimiento  y  se  pierde  por  la muerte; pero desde el momento en que un individuo es concebido, entra bajo la protección de la ley y se le tiene por nacido para los efectos declarados en el presente Código.</w:t>
      </w:r>
    </w:p>
    <w:p w:rsidR="00B81921" w:rsidRDefault="00B81921" w:rsidP="00B81921">
      <w:r>
        <w:t>Consideremos para su análisis inferencial el sólo enunciado que señala: “desde el momento en que un individuo es concebido, entra bajo la protección de la ley.” Esta parte enunciada a modo de condicional -la cual colocaremos en el cuadrante de Dicción- es la siguiente: “Si un   individuo   es   concebido,   entonces entra bajo la protección de la ley.” Esta enunciac</w:t>
      </w:r>
      <w:r w:rsidR="0092543D">
        <w:t xml:space="preserve">ión se considera como verdadera </w:t>
      </w:r>
      <w:r>
        <w:t>en cuanto que la enunciamos como válida en la Dicción. La enunciación a Contrario Sensu se infiere –en el parámetro de la lógica megárica estoica-, negando el antecedente y negando el consecuente:</w:t>
      </w:r>
    </w:p>
    <w:p w:rsidR="00B81921" w:rsidRDefault="0092543D" w:rsidP="00B81921">
      <w:r>
        <w:t xml:space="preserve"> </w:t>
      </w:r>
      <w:r w:rsidR="00B81921">
        <w:t>“Si un individuo no es concebido, entonces no entra bajo la protección de la ley.”</w:t>
      </w:r>
    </w:p>
    <w:p w:rsidR="00B81921" w:rsidRDefault="00B81921" w:rsidP="00B81921">
      <w:r>
        <w:t xml:space="preserve">En orden a que estamos negando el antecedente   y   el   consecuente   de   la Dicción, la inferencia señala como verdad también aquella relación en la que si no está el antecedente, tampoco está el consecuente.  Esta  figura  se  llama Contrario Sensu y en el Derecho es </w:t>
      </w:r>
      <w:r>
        <w:lastRenderedPageBreak/>
        <w:t>válida una interpretación en este sentido, debido al llamado Modus Tollendo Tollens que se puede enunciar de la siguiente manera: Si tengo A entonces tengo C; Si no tengo C, entonces no tengo A.</w:t>
      </w:r>
    </w:p>
    <w:p w:rsidR="00B81921" w:rsidRDefault="00B81921" w:rsidP="00B81921">
      <w:r>
        <w:t>En ambos casos es claro que estamos en presencia de formulaciones verdaderas, donde el consecuente procede por las condiciones del antecedente. Ahora veamos qué ocurre en el caso de la Contradicción y la Contrariedad.</w:t>
      </w:r>
    </w:p>
    <w:p w:rsidR="00B81921" w:rsidRDefault="00B81921" w:rsidP="00B81921">
      <w:r>
        <w:t>Contradicción: “Si un individuo no es concebido, entonces entra bajo la protección de la ley.”</w:t>
      </w:r>
    </w:p>
    <w:p w:rsidR="00B81921" w:rsidRDefault="00B81921" w:rsidP="00B81921">
      <w:r>
        <w:t>Esta afirmación es siempre falsa, porque de hecho contradice lo señalado en la Dicción. ¿Cómo sería posible que entrara alguien bajo la protección de la ley, si ni siquiera ha sido concebido? En el campo de las inferencias lógicas de necessitudo, la Contradicción siempre es falsa.</w:t>
      </w:r>
    </w:p>
    <w:p w:rsidR="00B81921" w:rsidRDefault="00B81921" w:rsidP="00B81921">
      <w:r>
        <w:t xml:space="preserve">Ahora bien, como estamos en el campo de la lógica de posibles, el cuadrante de la Contrariedad nos mostrará que dado un antecedente es “posible” que no se dé el consecuente imputado. </w:t>
      </w:r>
    </w:p>
    <w:p w:rsidR="00B81921" w:rsidRDefault="00B81921" w:rsidP="00B81921">
      <w:r>
        <w:t>Contrariedad: “Si un individuo es concebido, entonces no entra bajo la protección de la ley.”</w:t>
      </w:r>
    </w:p>
    <w:p w:rsidR="00B81921" w:rsidRDefault="00B81921" w:rsidP="00B81921">
      <w:r>
        <w:t xml:space="preserve">Esta última figura es muy interesante porque en ella podremos encontrar la posibilidad de que se presente el antecedente  sin  que  ocurra  el consecuente.  Pueden  darse  las condiciones legales para que algo ocurra, pero  no  acontecen  necesariamente, porque finalmente </w:t>
      </w:r>
      <w:r>
        <w:lastRenderedPageBreak/>
        <w:t>existe el factor de la libertad y la voluntad discrecional de llevar a cabo las consecuencias. Por tal razón, puede ocurrir que, a pesar de ser concebido, puede haber condiciones – legalmente vigentes y voluntariamente deseadas- que permitan que ése individuo no entre bajo la protección de la ley. En la inferencia de necessitudo la Contrariedad puede dar lugar a considerarse como verdadera, aunque también guarda la posibilidad de ser falsa, si no reúne los elementos necesarios para presentarse como excepción.</w:t>
      </w:r>
    </w:p>
    <w:p w:rsidR="00B81921" w:rsidRDefault="00B81921" w:rsidP="00B81921">
      <w:r>
        <w:t>Analizado de este modo, podemos señalar los criterios de verdad, resultado del tipo de inferencia cartesiana: Dicción y Contrario Sensu siempre serán verdaderos, mientras  que  la  Contradicción  siempre será falsa. La Contrariedad, dependiendo de las condiciones y voluntad de los operadores jurídicos, puede ser verdadera o falsa. En caso de ser verdadera, no violaría la</w:t>
      </w:r>
      <w:r w:rsidR="0092543D">
        <w:t xml:space="preserve"> ratio iuris del asunto mismo a </w:t>
      </w:r>
      <w:r>
        <w:t>tratar.</w:t>
      </w:r>
    </w:p>
    <w:p w:rsidR="00B81921" w:rsidRDefault="00B81921" w:rsidP="00B81921">
      <w:r>
        <w:t xml:space="preserve">Este mismo cuadro de inferencias lógicas de necessitudo, puede expresarse mediante una Tabla de Verdad de la siguiente manera. </w:t>
      </w:r>
    </w:p>
    <w:p w:rsidR="00B81921" w:rsidRDefault="00B81921" w:rsidP="00B81921">
      <w:r>
        <w:t>3.2.2. Modelo de inferencia de necessitas</w:t>
      </w:r>
    </w:p>
    <w:p w:rsidR="00B81921" w:rsidRDefault="00B81921" w:rsidP="00B81921">
      <w:r>
        <w:t xml:space="preserve">Analizaremos ahora el modo de hacer inferencia a partir del modelo de condicional de necessitas. Filón sostiene que la relación condicional entre dos elementos es verdadera siempre que no ocurra que el antecedente sea verdadero y el consecuente falso. Recuérdese que este tipo de condicional está muy relacionada con eventos cotidianos </w:t>
      </w:r>
      <w:r>
        <w:lastRenderedPageBreak/>
        <w:t>naturales. Tomemos por ejemplo el enunciado siguiente.</w:t>
      </w:r>
    </w:p>
    <w:p w:rsidR="00B81921" w:rsidRDefault="00B81921" w:rsidP="00B81921">
      <w:r>
        <w:t>Si está lloviendo entonces el suelo está mojado</w:t>
      </w:r>
    </w:p>
    <w:p w:rsidR="00B81921" w:rsidRDefault="00B81921" w:rsidP="00B81921">
      <w:r>
        <w:t>Siguiendo las indicaciones de Filón, revisemos el enunciado señalado:</w:t>
      </w:r>
    </w:p>
    <w:p w:rsidR="00B81921" w:rsidRDefault="0092543D" w:rsidP="00B81921">
      <w:r>
        <w:t xml:space="preserve">1) Cuando el antecedente </w:t>
      </w:r>
      <w:r w:rsidR="00B81921">
        <w:t>(A) tiene verificativo (V) y el consecuente (C)</w:t>
      </w:r>
      <w:r>
        <w:t xml:space="preserve"> se </w:t>
      </w:r>
      <w:r w:rsidR="00B81921">
        <w:t>co</w:t>
      </w:r>
      <w:r>
        <w:t xml:space="preserve">nstata (V), </w:t>
      </w:r>
      <w:r w:rsidR="00B81921">
        <w:t>entonces podemos decir que tenemos una relación lógica verdadera (V).</w:t>
      </w:r>
    </w:p>
    <w:p w:rsidR="00B81921" w:rsidRDefault="00B81921" w:rsidP="00B81921">
      <w:r>
        <w:t>•</w:t>
      </w:r>
      <w:r>
        <w:tab/>
        <w:t>Si está lloviendo [antecedente (A) tiene verificativo (V)] entonces el suelo está mojado [el consecuente (C) tiene verificativo (V)]; puedo decir que hay una relación coherente y por consiguiente se califica de verdadera.</w:t>
      </w:r>
    </w:p>
    <w:p w:rsidR="00B81921" w:rsidRDefault="00B81921" w:rsidP="00B81921">
      <w:r>
        <w:t>2) Cuando   el   antecedente  (A)  no tiene verificativo (F) y el consecuente  (C)  no  se  constata (F),</w:t>
      </w:r>
      <w:r>
        <w:tab/>
        <w:t>entonces</w:t>
      </w:r>
      <w:r w:rsidR="005329DE">
        <w:t xml:space="preserve"> </w:t>
      </w:r>
      <w:r>
        <w:t>tenemos</w:t>
      </w:r>
      <w:r w:rsidR="005329DE">
        <w:t xml:space="preserve"> </w:t>
      </w:r>
      <w:r>
        <w:t>una relación lógica verdadera (V).</w:t>
      </w:r>
    </w:p>
    <w:p w:rsidR="00B81921" w:rsidRDefault="00B81921" w:rsidP="00B81921">
      <w:r>
        <w:t>•</w:t>
      </w:r>
      <w:r>
        <w:tab/>
        <w:t>Si   no   está   lloviendo [antecedente (A) no tiene Verificativo (F)],   entonces el suelo no está mojado [el consecuente (C) no se constata (F)]; puedo</w:t>
      </w:r>
      <w:r w:rsidR="005329DE">
        <w:t xml:space="preserve"> </w:t>
      </w:r>
      <w:r>
        <w:t>decir</w:t>
      </w:r>
      <w:r w:rsidR="005329DE">
        <w:t xml:space="preserve"> </w:t>
      </w:r>
      <w:r>
        <w:t>que</w:t>
      </w:r>
      <w:r w:rsidR="005329DE">
        <w:t xml:space="preserve"> </w:t>
      </w:r>
      <w:r>
        <w:t>es ver</w:t>
      </w:r>
      <w:r w:rsidR="0092543D">
        <w:t xml:space="preserve">dadera  la  relación,  pues  si </w:t>
      </w:r>
      <w:r>
        <w:t>no se presentó el antecedente, entonces no se da el consecuente.</w:t>
      </w:r>
    </w:p>
    <w:p w:rsidR="00B81921" w:rsidRDefault="00B81921" w:rsidP="00B81921">
      <w:r>
        <w:t xml:space="preserve">Si se ha puesto atención podemos identificar que el primer modo de inferencia de la necessitas, coincide con el de la necessitudo, en la Dicción. Del mismo modo se puede identificar que el segundo  expuesto  en  la  necessitas coincide con el de la necessitudo al modo de Contrario Sensu. Ahora   bien, en el caso  de  la  Contradicción  y  la Contrariedad </w:t>
      </w:r>
      <w:r>
        <w:lastRenderedPageBreak/>
        <w:t>veremos que hay una inversión de papeles del modelo de la necessitas y de la necessitudo. A continuación se mostrará.</w:t>
      </w:r>
    </w:p>
    <w:p w:rsidR="00B81921" w:rsidRDefault="00B81921" w:rsidP="00B81921">
      <w:r>
        <w:t>3) Cuando  el  antecedente  (A)  no tiene verificativo (F) y el consecuente (C) se constata (V), entonces podemos decir que tenemos una relación lógica</w:t>
      </w:r>
      <w:r w:rsidR="00C067C7">
        <w:t xml:space="preserve"> “posiblemente” verdadera (V).</w:t>
      </w:r>
      <w:r w:rsidR="00C067C7">
        <w:rPr>
          <w:rStyle w:val="Refdenotaalpie"/>
        </w:rPr>
        <w:footnoteReference w:id="50"/>
      </w:r>
    </w:p>
    <w:p w:rsidR="00B81921" w:rsidRDefault="00B81921" w:rsidP="00B81921">
      <w:r>
        <w:t>•</w:t>
      </w:r>
      <w:r w:rsidR="005329DE">
        <w:t xml:space="preserve"> </w:t>
      </w:r>
      <w:r>
        <w:t>Si no está lloviendo [antecedente (A) no tiene Verificativo (F)],   entonces el suelo está mojado [el consecuente   (C)   se   constata (V)]; puedo decir que es “posiblemente” verdadera la relación,  pues  bien  puede ocurrir que vea el suelo mojado y no esté lloviendo. El suelo puede estar mojado o porque ya dejó de llover o bien porque por alguna otra razón corrió agua en ese lugar. Esta condicional no fue expuesta por Filón, sin embargo de acuerdo a los planteamientos de la lógica después de Wittgenstein, esta enunciación se mostrará como “pos</w:t>
      </w:r>
      <w:r w:rsidR="00C067C7">
        <w:t xml:space="preserve">ible”. Esta inferencia equivale </w:t>
      </w:r>
      <w:r>
        <w:t xml:space="preserve">en </w:t>
      </w:r>
      <w:r w:rsidR="00C067C7">
        <w:t xml:space="preserve">el </w:t>
      </w:r>
      <w:r>
        <w:t>plano de ejes</w:t>
      </w:r>
      <w:r w:rsidR="00C067C7">
        <w:t xml:space="preserve"> </w:t>
      </w:r>
      <w:r>
        <w:t>cartesianos</w:t>
      </w:r>
      <w:r w:rsidR="00C067C7">
        <w:t xml:space="preserve"> </w:t>
      </w:r>
      <w:r>
        <w:t>a</w:t>
      </w:r>
      <w:r w:rsidR="00C067C7">
        <w:t xml:space="preserve"> </w:t>
      </w:r>
      <w:r>
        <w:t>una</w:t>
      </w:r>
      <w:r w:rsidR="00C067C7">
        <w:t xml:space="preserve"> </w:t>
      </w:r>
      <w:r>
        <w:t>Contrariedad.</w:t>
      </w:r>
    </w:p>
    <w:p w:rsidR="00B81921" w:rsidRDefault="00B81921" w:rsidP="00B81921">
      <w:r>
        <w:t>4)</w:t>
      </w:r>
      <w:r w:rsidR="00C067C7">
        <w:t xml:space="preserve"> Cuando el </w:t>
      </w:r>
      <w:r>
        <w:t>antecedente (A) tiene verificativo (V) y el consecuente (C) no se constata (F),</w:t>
      </w:r>
      <w:r w:rsidR="00C067C7">
        <w:t xml:space="preserve"> entonces podemos </w:t>
      </w:r>
      <w:r>
        <w:t>decir que tenemos una relación lógica Falsa (F).</w:t>
      </w:r>
    </w:p>
    <w:p w:rsidR="00B81921" w:rsidRDefault="00B81921" w:rsidP="00B81921">
      <w:r>
        <w:t>•</w:t>
      </w:r>
      <w:r w:rsidR="005329DE">
        <w:t xml:space="preserve"> </w:t>
      </w:r>
      <w:r>
        <w:t xml:space="preserve">Si está  lloviendo [antecedente (A) tiene verificativo (V)] entonces el suelo no está mojado [el consecuente (C) no tiene verificativo (V)]; puedo decir que hay una relación no coherente y por consiguiente se </w:t>
      </w:r>
      <w:r>
        <w:lastRenderedPageBreak/>
        <w:t>califica de Falsa. Esta inferencia equivale en el plano de ejes cartesianos a una Contradicción.</w:t>
      </w:r>
    </w:p>
    <w:p w:rsidR="00B81921" w:rsidRDefault="00B81921" w:rsidP="00B81921">
      <w:r>
        <w:t>Algunos han querido hacer una objeción señalando que puede ser verdadera esta aseveración como cuando uno tiene un paraguas. Quiero llamar la atención que en el caso de las condicionales de necessitas, no hay operaciones de voluntad. Por consiguiente sólo pueden seguirse consecuencias posibles conforme al orden natural.</w:t>
      </w:r>
    </w:p>
    <w:p w:rsidR="00B81921" w:rsidRDefault="00B81921" w:rsidP="00B81921">
      <w:r>
        <w:t>En expresión de Tablas de verdad, el razonamiento queda expuesto del siguiente modo:</w:t>
      </w:r>
    </w:p>
    <w:p w:rsidR="00C067C7" w:rsidRDefault="00B81921" w:rsidP="00B81921">
      <w:r>
        <w:t>A</w:t>
      </w:r>
      <w:r w:rsidR="00C067C7">
        <w:t xml:space="preserve"> </w:t>
      </w:r>
      <w:r>
        <w:t>C</w:t>
      </w:r>
      <w:r w:rsidR="00C067C7">
        <w:t xml:space="preserve"> </w:t>
      </w:r>
      <w:r>
        <w:t>1</w:t>
      </w:r>
      <w:r w:rsidR="00C067C7">
        <w:t xml:space="preserve"> </w:t>
      </w:r>
      <w:r>
        <w:t>V</w:t>
      </w:r>
      <w:r w:rsidR="00C067C7">
        <w:t xml:space="preserve"> </w:t>
      </w:r>
      <w:r>
        <w:t>V</w:t>
      </w:r>
      <w:r w:rsidR="00C067C7">
        <w:t xml:space="preserve"> </w:t>
      </w:r>
      <w:r>
        <w:t>V</w:t>
      </w:r>
    </w:p>
    <w:p w:rsidR="00B81921" w:rsidRDefault="00B81921" w:rsidP="00B81921">
      <w:r>
        <w:t>En la tabla con ejes cartesianos, quiero hacer notar que, mientras la Dicción y el Contrario Sensu se conservan iguales a la condicional de necessitudo, la Contrariedad y la Contradicción cambiaron de lugar respectivamente.</w:t>
      </w:r>
    </w:p>
    <w:p w:rsidR="00C067C7" w:rsidRDefault="00B81921" w:rsidP="00C067C7">
      <w:pPr>
        <w:pStyle w:val="Ttulo2"/>
      </w:pPr>
      <w:bookmarkStart w:id="20" w:name="_Toc81161310"/>
      <w:r>
        <w:t>3.3. EL LENGUAJE JURÍDICO Y LA LÓGICA DE  LO  PROBABLE:</w:t>
      </w:r>
      <w:bookmarkEnd w:id="20"/>
      <w:r>
        <w:t xml:space="preserve"> </w:t>
      </w:r>
    </w:p>
    <w:p w:rsidR="00B81921" w:rsidRDefault="00B81921" w:rsidP="00B81921">
      <w:r>
        <w:t>PACTA SUNT SERVANDA Y LA BATALLA NAVAL</w:t>
      </w:r>
    </w:p>
    <w:p w:rsidR="00C067C7" w:rsidRDefault="00B81921" w:rsidP="00B81921">
      <w:r>
        <w:t xml:space="preserve">El principio general de derecho Pacta sunt servanda (los pactos deben cumplirse), es una figura jurídica que puede inferirse mediante  el  modelo  lógico  de necessitudo, tal y como se muestra a continuación.  El  punto de  excepción  lo encontramos en el cuadrante inferior derecho en el que se enuncia: “Si hay pacto, entonces no debe cumplirse”. Esta </w:t>
      </w:r>
      <w:r>
        <w:lastRenderedPageBreak/>
        <w:t>“posibilidad” de excepción a la Dicción enunciada coincide con la</w:t>
      </w:r>
      <w:r w:rsidR="00C067C7">
        <w:t xml:space="preserve"> </w:t>
      </w:r>
      <w:r>
        <w:t>excepción rebus sic</w:t>
      </w:r>
      <w:r w:rsidR="00C067C7">
        <w:t xml:space="preserve"> </w:t>
      </w:r>
      <w:r>
        <w:t xml:space="preserve">stantibus </w:t>
      </w:r>
      <w:r w:rsidR="00C067C7">
        <w:t xml:space="preserve"> </w:t>
      </w:r>
      <w:r>
        <w:t xml:space="preserve">(permaneciendo </w:t>
      </w:r>
      <w:r w:rsidR="00C067C7">
        <w:t xml:space="preserve"> </w:t>
      </w:r>
      <w:r>
        <w:t>las</w:t>
      </w:r>
      <w:r w:rsidR="00C067C7">
        <w:t xml:space="preserve"> </w:t>
      </w:r>
      <w:r>
        <w:t>2</w:t>
      </w:r>
      <w:r w:rsidR="00C067C7">
        <w:t xml:space="preserve"> </w:t>
      </w:r>
      <w:r>
        <w:t>V</w:t>
      </w:r>
      <w:r w:rsidR="00C067C7">
        <w:t xml:space="preserve"> </w:t>
      </w:r>
      <w:r>
        <w:t>F</w:t>
      </w:r>
      <w:r w:rsidR="00C067C7">
        <w:t xml:space="preserve"> </w:t>
      </w:r>
      <w:r>
        <w:t>F</w:t>
      </w:r>
      <w:r w:rsidR="00C067C7">
        <w:t xml:space="preserve"> </w:t>
      </w:r>
      <w:r>
        <w:t>condiciones como estaban). Es decir, la</w:t>
      </w:r>
    </w:p>
    <w:p w:rsidR="00B81921" w:rsidRDefault="00B81921" w:rsidP="00B81921">
      <w:r>
        <w:t>3</w:t>
      </w:r>
      <w:r>
        <w:tab/>
      </w:r>
    </w:p>
    <w:p w:rsidR="00B81921" w:rsidRDefault="00B81921" w:rsidP="00B81921">
      <w:r>
        <w:t>F</w:t>
      </w:r>
      <w:r>
        <w:tab/>
      </w:r>
    </w:p>
    <w:p w:rsidR="00B81921" w:rsidRDefault="00B81921" w:rsidP="00B81921">
      <w:r>
        <w:t>V</w:t>
      </w:r>
      <w:r>
        <w:tab/>
      </w:r>
    </w:p>
    <w:p w:rsidR="00C067C7" w:rsidRDefault="00B81921" w:rsidP="00B81921">
      <w:r>
        <w:t>V</w:t>
      </w:r>
    </w:p>
    <w:p w:rsidR="00B81921" w:rsidRDefault="00B81921" w:rsidP="00B81921">
      <w:r>
        <w:t>fórmula Pacta sunt servanda, considera la</w:t>
      </w:r>
      <w:r w:rsidR="00C067C7">
        <w:t xml:space="preserve"> </w:t>
      </w:r>
      <w:r>
        <w:t>posibilidad de una excepción: “rebus sic</w:t>
      </w:r>
    </w:p>
    <w:p w:rsidR="00C067C7" w:rsidRDefault="00B81921" w:rsidP="00B81921">
      <w:r>
        <w:t>4</w:t>
      </w:r>
    </w:p>
    <w:p w:rsidR="00C067C7" w:rsidRDefault="00B81921" w:rsidP="00B81921">
      <w:r>
        <w:t>F</w:t>
      </w:r>
    </w:p>
    <w:p w:rsidR="00C067C7" w:rsidRDefault="00B81921" w:rsidP="00B81921">
      <w:r>
        <w:t>V</w:t>
      </w:r>
    </w:p>
    <w:p w:rsidR="00B81921" w:rsidRDefault="00B81921" w:rsidP="00B81921">
      <w:r>
        <w:t>F</w:t>
      </w:r>
    </w:p>
    <w:p w:rsidR="00B81921" w:rsidRDefault="00B81921" w:rsidP="00B81921">
      <w:r>
        <w:t>stantibus”.  M</w:t>
      </w:r>
      <w:r w:rsidR="00C067C7">
        <w:t xml:space="preserve">ediante  ella  se  sostiene  la </w:t>
      </w:r>
      <w:r>
        <w:t>“posibilida</w:t>
      </w:r>
      <w:r w:rsidR="00C067C7">
        <w:t xml:space="preserve">d” de que a pesar de existir la </w:t>
      </w:r>
      <w:r>
        <w:t>un pacto, si las condiciones no son las mismas; puede no darse el cumplimiento del mismo. Aquí interviene la posibilidad de acuerdo conforme a las voluntades de las partes. Lógicamente se confirma la “posibilidad” del cuadrante de Contrariedad.</w:t>
      </w:r>
    </w:p>
    <w:p w:rsidR="00B81921" w:rsidRDefault="00B81921" w:rsidP="006B3D93">
      <w:r>
        <w:t xml:space="preserve">De manera semejante podemos analizar el problema planteado por Aristóteles sobre si la afirmación: “mañana habrá batalla naval” es verdadera o no. Aristóteles  consideraba  que  si  se verificaba al día siguiente la batalla naval, entonces el enunciado era verdadero, sin </w:t>
      </w:r>
      <w:r>
        <w:lastRenderedPageBreak/>
        <w:t>embargo   si   no   se   verificaba   al   día siguiente  tal  batalla,  el  enunciado siempre habría sido falso. Desde el punto de vista de la necessitudo y la tradición megárica  de  Diódoro  Crono,  la afirmación podría ser verdadera en el momento que se enunció y estar sujeta a “posibles” cambios dependiendo de las circunstancias  futuras.  En  materia jurídica es importante distinguir esta posibilidad. Imaginemos a una persona que en un contrato escribe: “prometo pagar lo que se me ha prestado más un</w:t>
      </w:r>
      <w:r w:rsidR="006B3D93">
        <w:t xml:space="preserve"> </w:t>
      </w:r>
      <w:r>
        <w:t>3% de intereses”. Esta afirmación al</w:t>
      </w:r>
      <w:r w:rsidR="006B3D93">
        <w:t xml:space="preserve"> </w:t>
      </w:r>
      <w:r>
        <w:t>momento de hacer el contrato es enunciada con un sentido de “verdad” a pesar de que en el futuro las condiciones pudieran  ser  cambiadas  y  el  sujeto  se</w:t>
      </w:r>
      <w:r w:rsidR="006B3D93">
        <w:t xml:space="preserve"> </w:t>
      </w:r>
      <w:r>
        <w:t>declarara en moratoria. No se puede señalar  que  el  enunciado  siempre  fue falso, porque no lo pagó en tiempo. En todo caso podemos conceder que al momento  de  comprometerse  estaba dando un sentido de verdad, mientras que con el paso del tiempo, el sentido sobre el mismo enunciado cambia. Si el enunciado fuera verdadero y falso en el mismo momento, tendríamos una paradoja. Pero tal no existe si la promesa fue verdad en un tiempo, pero en otro ya no puede seguir por las condiciones nuevas. Recordemos la excepción rebus sic stantibus. De este mismo modo podemos afirmar que “mañana habrá batalla naval” es en un primer momento una verdad, pero puede ocurrir que al día siguiente no se lleve a cabo. Revisemos el siguiente cuadro.</w:t>
      </w:r>
      <w:r w:rsidR="006B3D93">
        <w:t xml:space="preserve"> </w:t>
      </w:r>
    </w:p>
    <w:p w:rsidR="00B81921" w:rsidRDefault="00B81921" w:rsidP="00B81921">
      <w:r>
        <w:t xml:space="preserve">Si  un  comandante  dice  que: “mañana habrá batalla naval”, es verdad </w:t>
      </w:r>
      <w:r>
        <w:lastRenderedPageBreak/>
        <w:t>que ya ha puesto la condición para que al día siguiente  “haya  batalla  naval”.  A diferencia de una lógica de conceptos, el enunciado, expuesto como nociones e imputaciones del que lo enuncia, en sí no es ni verdadero ni falso. El que lo enuncia considera que es una verdad, porque así lo está señalando en este momento. Ahora bien, si pensáramos que el oficial no tiene intención de pelear y al día siguiente, hubiera batalla naval, aquello   no   tendría   sent</w:t>
      </w:r>
      <w:r w:rsidR="006B3D93">
        <w:t xml:space="preserve">ido. </w:t>
      </w:r>
      <w:r>
        <w:t>De este</w:t>
      </w:r>
      <w:r w:rsidR="006B3D93">
        <w:t xml:space="preserve"> </w:t>
      </w:r>
      <w:r>
        <w:t>m</w:t>
      </w:r>
      <w:r w:rsidR="006B3D93">
        <w:t xml:space="preserve">ismo modo puede ocurrir </w:t>
      </w:r>
      <w:r>
        <w:t>que manifieste su intención de que “mañana ocurra una batalla naval” y, al día siguiente tomar la decisión de no pelear por haber meditado una nueva estrategia en la que no convendría pelear. La razón ya la ha expuesto Diodoro Crono al señalar que en el pasado los tiempos y los sentidos se confunden y en el presente sólo es aplicable el principio de no contradicción, todos los antecedentes, confundidos en sentidos y tiempos, no se actualizan simultáneamente en un sólo presente. Por ello, tal como lo dice Aristóteles, si uno  dijera  que algo  será y otro dijera que eso mismo no será, es evidente que uno de los dos dice necesariamente la verdad, si toda afirmación es verdadera o falsa:  pues  en  las  cosas  de  este  tipo</w:t>
      </w:r>
      <w:r w:rsidR="006B3D93">
        <w:t xml:space="preserve">  no  se darán ambas a la vez.</w:t>
      </w:r>
      <w:r w:rsidR="006B3D93">
        <w:rPr>
          <w:rStyle w:val="Refdenotaalpie"/>
        </w:rPr>
        <w:footnoteReference w:id="51"/>
      </w:r>
    </w:p>
    <w:p w:rsidR="00B81921" w:rsidRDefault="00B81921" w:rsidP="00B81921">
      <w:r>
        <w:lastRenderedPageBreak/>
        <w:t>Hans Kelsen, al indagar acerca del lenguaje jurídico y la forma de expresar las relaciones entre antecedentes y consecuentes, detectó que en el lenguaje jurídico, ocurría un fenómeno semejante al del lenguaje de la física cuántica. Las relaciones condicionales, de orden conceptual  indeterminado  o  con nociones,   tienen   un  carácter   probable. Esto  lleva  a  contemplar  que  las inferencias con un lenguaje probable, nos</w:t>
      </w:r>
      <w:r w:rsidR="006B3D93">
        <w:t xml:space="preserve"> </w:t>
      </w:r>
      <w:r>
        <w:t>remiten a un campo de posibilidades abiertas.</w:t>
      </w:r>
    </w:p>
    <w:p w:rsidR="00B81921" w:rsidRDefault="00B81921" w:rsidP="00B81921">
      <w:r>
        <w:t>Hoy sabemos con seguridad, dice Schrödinger, que las regularidades naturales observadas  por  nosotros durante milenios –y que han conducido</w:t>
      </w:r>
      <w:r w:rsidR="005329DE">
        <w:t xml:space="preserve"> </w:t>
      </w:r>
      <w:r>
        <w:t>a la fe en la causalidad- “no son –o en todo caso no lo son de modo inmediato- legalidades causales, sino  legalidades inmediatamente</w:t>
      </w:r>
      <w:r w:rsidR="005329DE">
        <w:t xml:space="preserve"> </w:t>
      </w:r>
      <w:r>
        <w:t>estadísticas.”</w:t>
      </w:r>
    </w:p>
    <w:p w:rsidR="00934FF0" w:rsidRDefault="006B3D93" w:rsidP="00B81921">
      <w:r>
        <w:t xml:space="preserve">{…} Aquí se cumple </w:t>
      </w:r>
      <w:r w:rsidR="00B81921">
        <w:t>“una</w:t>
      </w:r>
      <w:r>
        <w:t xml:space="preserve"> </w:t>
      </w:r>
      <w:r w:rsidR="00B81921">
        <w:t>transposición del concepto de ley”,  que  corresponde  al tránsito de la certidumbre a la probabilidad –proceso que, por lo  demás, ya  había  iniciado  la Física clásica. “Todo  enunciado causal aplicado a la predicción de un acontecimiento natural tiene forma de un enunciado de probabilidad.”{..} la idea de que entre causa y efecto existe una conexión necesaria es sustituida por la idea de que esta</w:t>
      </w:r>
      <w:r>
        <w:t xml:space="preserve"> conexión es sólo “probable”. </w:t>
      </w:r>
      <w:r>
        <w:rPr>
          <w:rStyle w:val="Refdenotaalpie"/>
        </w:rPr>
        <w:footnoteReference w:id="52"/>
      </w:r>
    </w:p>
    <w:sectPr w:rsidR="00934FF0" w:rsidSect="00B81921">
      <w:footerReference w:type="default" r:id="rId9"/>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2E8F" w:rsidRDefault="00AD2E8F" w:rsidP="00B81921">
      <w:pPr>
        <w:spacing w:line="240" w:lineRule="auto"/>
      </w:pPr>
      <w:r>
        <w:separator/>
      </w:r>
    </w:p>
  </w:endnote>
  <w:endnote w:type="continuationSeparator" w:id="0">
    <w:p w:rsidR="00AD2E8F" w:rsidRDefault="00AD2E8F" w:rsidP="00B819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6974394"/>
      <w:docPartObj>
        <w:docPartGallery w:val="Page Numbers (Bottom of Page)"/>
        <w:docPartUnique/>
      </w:docPartObj>
    </w:sdtPr>
    <w:sdtEndPr/>
    <w:sdtContent>
      <w:p w:rsidR="005329DE" w:rsidRDefault="005329DE">
        <w:pPr>
          <w:pStyle w:val="Piedepgina"/>
          <w:jc w:val="center"/>
        </w:pPr>
        <w:r>
          <w:fldChar w:fldCharType="begin"/>
        </w:r>
        <w:r>
          <w:instrText>PAGE   \* MERGEFORMAT</w:instrText>
        </w:r>
        <w:r>
          <w:fldChar w:fldCharType="separate"/>
        </w:r>
        <w:r w:rsidR="00E30714">
          <w:rPr>
            <w:noProof/>
          </w:rPr>
          <w:t>1</w:t>
        </w:r>
        <w:r>
          <w:fldChar w:fldCharType="end"/>
        </w:r>
      </w:p>
    </w:sdtContent>
  </w:sdt>
  <w:p w:rsidR="005329DE" w:rsidRDefault="005329D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2E8F" w:rsidRDefault="00AD2E8F" w:rsidP="00B81921">
      <w:pPr>
        <w:spacing w:line="240" w:lineRule="auto"/>
      </w:pPr>
      <w:r>
        <w:separator/>
      </w:r>
    </w:p>
  </w:footnote>
  <w:footnote w:type="continuationSeparator" w:id="0">
    <w:p w:rsidR="00AD2E8F" w:rsidRDefault="00AD2E8F" w:rsidP="00B81921">
      <w:pPr>
        <w:spacing w:line="240" w:lineRule="auto"/>
      </w:pPr>
      <w:r>
        <w:continuationSeparator/>
      </w:r>
    </w:p>
  </w:footnote>
  <w:footnote w:id="1">
    <w:p w:rsidR="005329DE" w:rsidRPr="00B81921" w:rsidRDefault="005329DE">
      <w:pPr>
        <w:pStyle w:val="Textonotapie"/>
        <w:rPr>
          <w:lang w:val="es-CO"/>
        </w:rPr>
      </w:pPr>
      <w:r>
        <w:rPr>
          <w:rStyle w:val="Refdenotaalpie"/>
        </w:rPr>
        <w:footnoteRef/>
      </w:r>
      <w:r>
        <w:t xml:space="preserve"> Luis María Cazorla Prieto, El lenguaje jurídico actual, Madrid, Thomson-Aranzadi, 2007.</w:t>
      </w:r>
    </w:p>
  </w:footnote>
  <w:footnote w:id="2">
    <w:p w:rsidR="005329DE" w:rsidRPr="008324E9" w:rsidRDefault="005329DE" w:rsidP="008324E9">
      <w:pPr>
        <w:pStyle w:val="Textonotapie"/>
      </w:pPr>
      <w:r>
        <w:rPr>
          <w:rStyle w:val="Refdenotaalpie"/>
        </w:rPr>
        <w:footnoteRef/>
      </w:r>
      <w:r>
        <w:t xml:space="preserve"> Rafael de Mendizábal Allende, “Prólogo”, en Ángel Martín del Burgo y Marchán, El lenguaje del derecho, Barcelona, Bosch, 2000, p. 1.  El lenguaje jurídico y sus sentidos lógicos</w:t>
      </w:r>
    </w:p>
  </w:footnote>
  <w:footnote w:id="3">
    <w:p w:rsidR="005329DE" w:rsidRPr="008324E9" w:rsidRDefault="005329DE">
      <w:pPr>
        <w:pStyle w:val="Textonotapie"/>
        <w:rPr>
          <w:lang w:val="es-CO"/>
        </w:rPr>
      </w:pPr>
      <w:r>
        <w:rPr>
          <w:rStyle w:val="Refdenotaalpie"/>
        </w:rPr>
        <w:footnoteRef/>
      </w:r>
      <w:r w:rsidRPr="008324E9">
        <w:rPr>
          <w:lang w:val="en-US"/>
        </w:rPr>
        <w:t xml:space="preserve"> The American Heritage dictionary of indo- european roots, Houghton Mifflin Company, Boston, New York, 2000, p. 47. </w:t>
      </w:r>
      <w:r w:rsidRPr="008324E9">
        <w:t>Pokorny 658.</w:t>
      </w:r>
    </w:p>
  </w:footnote>
  <w:footnote w:id="4">
    <w:p w:rsidR="005329DE" w:rsidRPr="008324E9" w:rsidRDefault="005329DE" w:rsidP="008324E9">
      <w:pPr>
        <w:pStyle w:val="Textonotapie"/>
      </w:pPr>
      <w:r>
        <w:rPr>
          <w:rStyle w:val="Refdenotaalpie"/>
        </w:rPr>
        <w:footnoteRef/>
      </w:r>
      <w:r>
        <w:t xml:space="preserve"> Silogismo deriva de Syl-légo (que quiere decir juntar o componer resultando algo) y logízomai (que refiere a considerar, calcular o razonar). Un silogismo es reunir elementos considerados o calculados de cierta manera.</w:t>
      </w:r>
    </w:p>
  </w:footnote>
  <w:footnote w:id="5">
    <w:p w:rsidR="005329DE" w:rsidRPr="008324E9" w:rsidRDefault="005329DE">
      <w:pPr>
        <w:pStyle w:val="Textonotapie"/>
        <w:rPr>
          <w:lang w:val="es-CO"/>
        </w:rPr>
      </w:pPr>
      <w:r>
        <w:rPr>
          <w:rStyle w:val="Refdenotaalpie"/>
        </w:rPr>
        <w:footnoteRef/>
      </w:r>
      <w:r>
        <w:t xml:space="preserve"> Aristóteles, Analíticos primeros, I, 24 a 12.</w:t>
      </w:r>
    </w:p>
  </w:footnote>
  <w:footnote w:id="6">
    <w:p w:rsidR="005329DE" w:rsidRPr="00C63ED2" w:rsidRDefault="005329DE">
      <w:pPr>
        <w:pStyle w:val="Textonotapie"/>
        <w:rPr>
          <w:lang w:val="es-CO"/>
        </w:rPr>
      </w:pPr>
      <w:r>
        <w:rPr>
          <w:rStyle w:val="Refdenotaalpie"/>
        </w:rPr>
        <w:footnoteRef/>
      </w:r>
      <w:r>
        <w:t xml:space="preserve"> Weber, Max, Economía y Sociedad, I, Conceptos Sociológicos fundamentales, FCE, México, 2014, p. 131.</w:t>
      </w:r>
    </w:p>
  </w:footnote>
  <w:footnote w:id="7">
    <w:p w:rsidR="005329DE" w:rsidRPr="00C63ED2" w:rsidRDefault="005329DE">
      <w:pPr>
        <w:pStyle w:val="Textonotapie"/>
        <w:rPr>
          <w:lang w:val="es-CO"/>
        </w:rPr>
      </w:pPr>
      <w:r>
        <w:rPr>
          <w:rStyle w:val="Refdenotaalpie"/>
        </w:rPr>
        <w:footnoteRef/>
      </w:r>
      <w:r>
        <w:t xml:space="preserve"> La lógica jurídica es más cercana a una dialéctica negativa  al  modo  de  Th.W.  Adorno,  que  a  la lógica formal que opera con altas abstracciones al modo de L. Wittgenstein o I. Copi.</w:t>
      </w:r>
    </w:p>
  </w:footnote>
  <w:footnote w:id="8">
    <w:p w:rsidR="005329DE" w:rsidRPr="00C63ED2" w:rsidRDefault="005329DE" w:rsidP="00C63ED2">
      <w:pPr>
        <w:pStyle w:val="Textonotapie"/>
        <w:rPr>
          <w:lang w:val="es-CO"/>
        </w:rPr>
      </w:pPr>
      <w:r>
        <w:rPr>
          <w:rStyle w:val="Refdenotaalpie"/>
        </w:rPr>
        <w:footnoteRef/>
      </w:r>
      <w:r>
        <w:t xml:space="preserve"> Kelsen,   Hans,   Derecho   y   Lógica,   México, Instituto  de  Investigaciones  Filosóficas,  UNAM, 1978, pp. 28-31.</w:t>
      </w:r>
    </w:p>
  </w:footnote>
  <w:footnote w:id="9">
    <w:p w:rsidR="005329DE" w:rsidRDefault="005329DE" w:rsidP="00C63ED2">
      <w:pPr>
        <w:pStyle w:val="Textonotapie"/>
      </w:pPr>
      <w:r>
        <w:rPr>
          <w:rStyle w:val="Refdenotaalpie"/>
        </w:rPr>
        <w:footnoteRef/>
      </w:r>
      <w:r>
        <w:t xml:space="preserve"> Dilthey,   Wilhelm,   Psicología   y   Teoría   del</w:t>
      </w:r>
    </w:p>
    <w:p w:rsidR="005329DE" w:rsidRPr="00E3493B" w:rsidRDefault="005329DE" w:rsidP="00C63ED2">
      <w:pPr>
        <w:pStyle w:val="Textonotapie"/>
      </w:pPr>
      <w:r>
        <w:t>Conocimiento, FCE, México, 1978, p. 197.</w:t>
      </w:r>
    </w:p>
  </w:footnote>
  <w:footnote w:id="10">
    <w:p w:rsidR="005329DE" w:rsidRPr="00E3493B" w:rsidRDefault="005329DE" w:rsidP="00E3493B">
      <w:pPr>
        <w:pStyle w:val="Textonotapie"/>
      </w:pPr>
      <w:r>
        <w:rPr>
          <w:rStyle w:val="Refdenotaalpie"/>
        </w:rPr>
        <w:footnoteRef/>
      </w:r>
      <w:r>
        <w:t xml:space="preserve"> Weber,   Max,   Economía   y   Sociedad,   FCE, México, 1956, pp.5y6.</w:t>
      </w:r>
    </w:p>
  </w:footnote>
  <w:footnote w:id="11">
    <w:p w:rsidR="005329DE" w:rsidRDefault="005329DE" w:rsidP="00E3493B">
      <w:pPr>
        <w:pStyle w:val="Textonotapie"/>
      </w:pPr>
      <w:r>
        <w:rPr>
          <w:rStyle w:val="Refdenotaalpie"/>
        </w:rPr>
        <w:footnoteRef/>
      </w:r>
      <w:r>
        <w:t xml:space="preserve"> Platón,   República,   VI,   510b   y   Aristóteles,</w:t>
      </w:r>
    </w:p>
    <w:p w:rsidR="005329DE" w:rsidRPr="00E3493B" w:rsidRDefault="005329DE" w:rsidP="00E3493B">
      <w:pPr>
        <w:pStyle w:val="Textonotapie"/>
        <w:rPr>
          <w:lang w:val="es-CO"/>
        </w:rPr>
      </w:pPr>
      <w:r>
        <w:t>Metafísica V, 1, 1025b 25.</w:t>
      </w:r>
    </w:p>
  </w:footnote>
  <w:footnote w:id="12">
    <w:p w:rsidR="005329DE" w:rsidRPr="00E3493B" w:rsidRDefault="005329DE">
      <w:pPr>
        <w:pStyle w:val="Textonotapie"/>
        <w:rPr>
          <w:lang w:val="es-CO"/>
        </w:rPr>
      </w:pPr>
      <w:r>
        <w:rPr>
          <w:rStyle w:val="Refdenotaalpie"/>
        </w:rPr>
        <w:footnoteRef/>
      </w:r>
      <w:r>
        <w:t xml:space="preserve"> Erkenntnistheoretische Logik.</w:t>
      </w:r>
    </w:p>
  </w:footnote>
  <w:footnote w:id="13">
    <w:p w:rsidR="005329DE" w:rsidRPr="00E3493B" w:rsidRDefault="005329DE" w:rsidP="00E3493B">
      <w:pPr>
        <w:pStyle w:val="Textonotapie"/>
        <w:rPr>
          <w:lang w:val="es-CO"/>
        </w:rPr>
      </w:pPr>
      <w:r>
        <w:rPr>
          <w:rStyle w:val="Refdenotaalpie"/>
        </w:rPr>
        <w:footnoteRef/>
      </w:r>
      <w:r>
        <w:t xml:space="preserve"> Grundzuge der Ethik und Rechtsphilosophie.</w:t>
      </w:r>
    </w:p>
  </w:footnote>
  <w:footnote w:id="14">
    <w:p w:rsidR="005329DE" w:rsidRPr="00E3493B" w:rsidRDefault="005329DE" w:rsidP="00E3493B">
      <w:pPr>
        <w:pStyle w:val="Textonotapie"/>
      </w:pPr>
      <w:r>
        <w:rPr>
          <w:rStyle w:val="Refdenotaalpie"/>
        </w:rPr>
        <w:footnoteRef/>
      </w:r>
      <w:r>
        <w:t xml:space="preserve"> Grundriß der Erkenntnistheorie und Logik</w:t>
      </w:r>
    </w:p>
  </w:footnote>
  <w:footnote w:id="15">
    <w:p w:rsidR="005329DE" w:rsidRPr="00E3493B" w:rsidRDefault="005329DE">
      <w:pPr>
        <w:pStyle w:val="Textonotapie"/>
        <w:rPr>
          <w:lang w:val="es-CO"/>
        </w:rPr>
      </w:pPr>
      <w:r>
        <w:rPr>
          <w:rStyle w:val="Refdenotaalpie"/>
        </w:rPr>
        <w:footnoteRef/>
      </w:r>
      <w:r>
        <w:t xml:space="preserve"> Die immanente Philosophie</w:t>
      </w:r>
    </w:p>
  </w:footnote>
  <w:footnote w:id="16">
    <w:p w:rsidR="005329DE" w:rsidRPr="008855B7" w:rsidRDefault="005329DE">
      <w:pPr>
        <w:pStyle w:val="Textonotapie"/>
        <w:rPr>
          <w:lang w:val="es-CO"/>
        </w:rPr>
      </w:pPr>
      <w:r>
        <w:rPr>
          <w:rStyle w:val="Refdenotaalpie"/>
        </w:rPr>
        <w:footnoteRef/>
      </w:r>
      <w:r w:rsidRPr="008855B7">
        <w:rPr>
          <w:lang w:val="es-CO"/>
        </w:rPr>
        <w:t xml:space="preserve"> 16  Aquino, Thomas, Summa Theologica I-II, q.96, a.1, ad.3</w:t>
      </w:r>
    </w:p>
  </w:footnote>
  <w:footnote w:id="17">
    <w:p w:rsidR="005329DE" w:rsidRPr="00E05D3E" w:rsidRDefault="005329DE" w:rsidP="00E05D3E">
      <w:pPr>
        <w:pStyle w:val="Textonotapie"/>
      </w:pPr>
      <w:r>
        <w:rPr>
          <w:rStyle w:val="Refdenotaalpie"/>
        </w:rPr>
        <w:footnoteRef/>
      </w:r>
      <w:r>
        <w:t xml:space="preserve"> Esto se puede aplicar a conceptos absolutos.</w:t>
      </w:r>
    </w:p>
  </w:footnote>
  <w:footnote w:id="18">
    <w:p w:rsidR="005329DE" w:rsidRPr="00E05D3E" w:rsidRDefault="005329DE" w:rsidP="00E05D3E">
      <w:pPr>
        <w:pStyle w:val="Textonotapie"/>
        <w:rPr>
          <w:lang w:val="es-CO"/>
        </w:rPr>
      </w:pPr>
      <w:r>
        <w:rPr>
          <w:rStyle w:val="Refdenotaalpie"/>
        </w:rPr>
        <w:footnoteRef/>
      </w:r>
      <w:r w:rsidRPr="00E05D3E">
        <w:rPr>
          <w:lang w:val="en-US"/>
        </w:rPr>
        <w:t xml:space="preserve"> Aquino, Thomas, Summa Theologica, I-II q.94, art. 4. </w:t>
      </w:r>
      <w:r>
        <w:t>Esta afirmación me parece que da lugar a una cierta forma de constructivismo.</w:t>
      </w:r>
    </w:p>
  </w:footnote>
  <w:footnote w:id="19">
    <w:p w:rsidR="005329DE" w:rsidRPr="00E05D3E" w:rsidRDefault="005329DE" w:rsidP="00E05D3E">
      <w:pPr>
        <w:pStyle w:val="Textonotapie"/>
      </w:pPr>
      <w:r>
        <w:rPr>
          <w:rStyle w:val="Refdenotaalpie"/>
        </w:rPr>
        <w:footnoteRef/>
      </w:r>
      <w:r>
        <w:t xml:space="preserve"> Tendencias provocadas por experiencias acumuladas.</w:t>
      </w:r>
    </w:p>
  </w:footnote>
  <w:footnote w:id="20">
    <w:p w:rsidR="005329DE" w:rsidRPr="00E05D3E" w:rsidRDefault="005329DE">
      <w:pPr>
        <w:pStyle w:val="Textonotapie"/>
        <w:rPr>
          <w:lang w:val="es-CO"/>
        </w:rPr>
      </w:pPr>
      <w:r>
        <w:rPr>
          <w:rStyle w:val="Refdenotaalpie"/>
        </w:rPr>
        <w:footnoteRef/>
      </w:r>
      <w:r>
        <w:t xml:space="preserve"> Recasens Siches, Luis, Filosofía del Derecho, México, Editorial Porrúa, 1954, p. 644. más lógica que ésta, pues tiene una finalidad de “comprensión” de la cual carece la lógica pura tradicional.</w:t>
      </w:r>
    </w:p>
  </w:footnote>
  <w:footnote w:id="21">
    <w:p w:rsidR="005329DE" w:rsidRPr="00E05D3E" w:rsidRDefault="005329DE" w:rsidP="00E05D3E">
      <w:pPr>
        <w:pStyle w:val="Textonotapie"/>
      </w:pPr>
      <w:r>
        <w:rPr>
          <w:rStyle w:val="Refdenotaalpie"/>
        </w:rPr>
        <w:footnoteRef/>
      </w:r>
      <w:r>
        <w:t xml:space="preserve"> Esto  mismo  será  intentando  posteriormente por su discípulo Martín Heidegger.</w:t>
      </w:r>
    </w:p>
  </w:footnote>
  <w:footnote w:id="22">
    <w:p w:rsidR="005329DE" w:rsidRPr="00E05D3E" w:rsidRDefault="005329DE" w:rsidP="00E05D3E">
      <w:pPr>
        <w:pStyle w:val="Textonotapie"/>
        <w:rPr>
          <w:lang w:val="es-CO"/>
        </w:rPr>
      </w:pPr>
      <w:r>
        <w:rPr>
          <w:rStyle w:val="Refdenotaalpie"/>
        </w:rPr>
        <w:footnoteRef/>
      </w:r>
      <w:r>
        <w:t xml:space="preserve"> Término   empleado  por   su   maestro   Franz Brentano; quien también fue mentor de William Schuppe</w:t>
      </w:r>
    </w:p>
  </w:footnote>
  <w:footnote w:id="23">
    <w:p w:rsidR="005329DE" w:rsidRPr="00E05D3E" w:rsidRDefault="005329DE" w:rsidP="00E05D3E">
      <w:pPr>
        <w:pStyle w:val="Textonotapie"/>
        <w:rPr>
          <w:lang w:val="es-CO"/>
        </w:rPr>
      </w:pPr>
      <w:r>
        <w:rPr>
          <w:rStyle w:val="Refdenotaalpie"/>
        </w:rPr>
        <w:footnoteRef/>
      </w:r>
      <w:r>
        <w:t xml:space="preserve"> El cumplimiento de las vivencias intencionales se le denomina: “evidencia”, "Evidenz". Término que empleará Max Weber en los conceptos sociológicos fundamentales.</w:t>
      </w:r>
    </w:p>
  </w:footnote>
  <w:footnote w:id="24">
    <w:p w:rsidR="005329DE" w:rsidRPr="00E05D3E" w:rsidRDefault="005329DE" w:rsidP="00E05D3E">
      <w:pPr>
        <w:pStyle w:val="Textonotapie"/>
      </w:pPr>
      <w:r>
        <w:rPr>
          <w:rStyle w:val="Refdenotaalpie"/>
        </w:rPr>
        <w:footnoteRef/>
      </w:r>
      <w:r>
        <w:t xml:space="preserve"> De las variaciones eidéticas.</w:t>
      </w:r>
    </w:p>
  </w:footnote>
  <w:footnote w:id="25">
    <w:p w:rsidR="005329DE" w:rsidRPr="00E05D3E" w:rsidRDefault="005329DE">
      <w:pPr>
        <w:pStyle w:val="Textonotapie"/>
        <w:rPr>
          <w:lang w:val="es-CO"/>
        </w:rPr>
      </w:pPr>
      <w:r>
        <w:rPr>
          <w:rStyle w:val="Refdenotaalpie"/>
        </w:rPr>
        <w:footnoteRef/>
      </w:r>
      <w:r>
        <w:t xml:space="preserve"> Del griego meros que significa parte.</w:t>
      </w:r>
    </w:p>
  </w:footnote>
  <w:footnote w:id="26">
    <w:p w:rsidR="005329DE" w:rsidRPr="00E05D3E" w:rsidRDefault="005329DE" w:rsidP="00E05D3E">
      <w:pPr>
        <w:pStyle w:val="Textonotapie"/>
      </w:pPr>
      <w:r>
        <w:rPr>
          <w:rStyle w:val="Refdenotaalpie"/>
        </w:rPr>
        <w:footnoteRef/>
      </w:r>
      <w:r>
        <w:t xml:space="preserve"> Bruner, Jerome, Realidad mental y mundos posibles. Los actos de la imaginación que dan sentido  a  la  experiencia, Gedisa,  Buenos Aires, 2012, p.103</w:t>
      </w:r>
    </w:p>
  </w:footnote>
  <w:footnote w:id="27">
    <w:p w:rsidR="005329DE" w:rsidRPr="00E05D3E" w:rsidRDefault="005329DE" w:rsidP="00E05D3E">
      <w:pPr>
        <w:pStyle w:val="Textonotapie"/>
      </w:pPr>
      <w:r>
        <w:rPr>
          <w:rStyle w:val="Refdenotaalpie"/>
        </w:rPr>
        <w:footnoteRef/>
      </w:r>
      <w:r>
        <w:t xml:space="preserve"> Idem.</w:t>
      </w:r>
    </w:p>
  </w:footnote>
  <w:footnote w:id="28">
    <w:p w:rsidR="005329DE" w:rsidRPr="00E05D3E" w:rsidRDefault="005329DE">
      <w:pPr>
        <w:pStyle w:val="Textonotapie"/>
        <w:rPr>
          <w:lang w:val="es-CO"/>
        </w:rPr>
      </w:pPr>
      <w:r>
        <w:rPr>
          <w:rStyle w:val="Refdenotaalpie"/>
        </w:rPr>
        <w:footnoteRef/>
      </w:r>
      <w:r>
        <w:t xml:space="preserve"> Ibidem, p. 117.</w:t>
      </w:r>
    </w:p>
  </w:footnote>
  <w:footnote w:id="29">
    <w:p w:rsidR="005329DE" w:rsidRPr="006E0DCF" w:rsidRDefault="005329DE">
      <w:pPr>
        <w:pStyle w:val="Textonotapie"/>
        <w:rPr>
          <w:lang w:val="es-CO"/>
        </w:rPr>
      </w:pPr>
      <w:r>
        <w:rPr>
          <w:rStyle w:val="Refdenotaalpie"/>
        </w:rPr>
        <w:footnoteRef/>
      </w:r>
      <w:r>
        <w:t xml:space="preserve"> García  Máynez,  Eduardo,  Introducción  a  la lógica jurídica, México,  2007, Fontamara. pp.11- 12.</w:t>
      </w:r>
    </w:p>
  </w:footnote>
  <w:footnote w:id="30">
    <w:p w:rsidR="005329DE" w:rsidRPr="006E0DCF" w:rsidRDefault="005329DE">
      <w:pPr>
        <w:pStyle w:val="Textonotapie"/>
        <w:rPr>
          <w:lang w:val="es-CO"/>
        </w:rPr>
      </w:pPr>
      <w:r>
        <w:rPr>
          <w:rStyle w:val="Refdenotaalpie"/>
        </w:rPr>
        <w:footnoteRef/>
      </w:r>
      <w:r>
        <w:t xml:space="preserve"> Piaget, Jean, Los dos problemas principales de la epistemología de las ciencias del hombre, en Tratado de lógica y conocimiento científico, Vol. 6 Epistemología de las ciencias del hombre. Paidós, Buenos Aires, 1979, pp.197-198.</w:t>
      </w:r>
    </w:p>
  </w:footnote>
  <w:footnote w:id="31">
    <w:p w:rsidR="005329DE" w:rsidRPr="006E0DCF" w:rsidRDefault="005329DE" w:rsidP="006E0DCF">
      <w:pPr>
        <w:pStyle w:val="Textonotapie"/>
        <w:rPr>
          <w:lang w:val="es-CO"/>
        </w:rPr>
      </w:pPr>
      <w:r>
        <w:rPr>
          <w:rStyle w:val="Refdenotaalpie"/>
        </w:rPr>
        <w:footnoteRef/>
      </w:r>
      <w:r>
        <w:t xml:space="preserve"> Kelsen, Hans, Teoría Pura del Derecho, Introducción a los problemas de la Ciencia Jurídica (primera  edición  1934),  V,  27,  Trotta,  Madrid, 2011, pp. 82-83.</w:t>
      </w:r>
    </w:p>
  </w:footnote>
  <w:footnote w:id="32">
    <w:p w:rsidR="005329DE" w:rsidRPr="006E0DCF" w:rsidRDefault="005329DE">
      <w:pPr>
        <w:pStyle w:val="Textonotapie"/>
        <w:rPr>
          <w:lang w:val="es-CO"/>
        </w:rPr>
      </w:pPr>
      <w:r>
        <w:rPr>
          <w:rStyle w:val="Refdenotaalpie"/>
        </w:rPr>
        <w:footnoteRef/>
      </w:r>
      <w:r>
        <w:t xml:space="preserve"> Kelsen, Hans, Teoría general del Estado, Op. cit., III, 10, C, pp. 64-65.</w:t>
      </w:r>
    </w:p>
  </w:footnote>
  <w:footnote w:id="33">
    <w:p w:rsidR="005329DE" w:rsidRDefault="005329DE" w:rsidP="006E0DCF">
      <w:pPr>
        <w:pStyle w:val="Textonotapie"/>
      </w:pPr>
      <w:r>
        <w:rPr>
          <w:rStyle w:val="Refdenotaalpie"/>
        </w:rPr>
        <w:footnoteRef/>
      </w:r>
      <w:r>
        <w:t xml:space="preserve"> Kelsen, Hans, Introducción a la Teoría Pura del</w:t>
      </w:r>
    </w:p>
    <w:p w:rsidR="005329DE" w:rsidRPr="006E0DCF" w:rsidRDefault="005329DE" w:rsidP="006E0DCF">
      <w:pPr>
        <w:pStyle w:val="Textonotapie"/>
      </w:pPr>
      <w:r>
        <w:t>Derecho, México, Ediciones Coyoacán, 2009,  p. 32. Cfr. también Kelsen, Hans, Dios y Estado (1922), Fontamara, México, 2007; y Piaget, Jean, La idea de la justicia inmanente (1932), Paidós, Buenos Aires, 2008.</w:t>
      </w:r>
    </w:p>
  </w:footnote>
  <w:footnote w:id="34">
    <w:p w:rsidR="005329DE" w:rsidRPr="006E0DCF" w:rsidRDefault="005329DE">
      <w:pPr>
        <w:pStyle w:val="Textonotapie"/>
        <w:rPr>
          <w:lang w:val="es-CO"/>
        </w:rPr>
      </w:pPr>
      <w:r>
        <w:rPr>
          <w:rStyle w:val="Refdenotaalpie"/>
        </w:rPr>
        <w:footnoteRef/>
      </w:r>
      <w:r>
        <w:t xml:space="preserve"> Piaget, Jean, Tratado de lógica y conocimiento científico, Buenos Aires, Paidós, 1979, vol.7, Clasificación  de  las  ciencias  y  principales corrientes de la epistemología contemporánea, p. 40.</w:t>
      </w:r>
    </w:p>
  </w:footnote>
  <w:footnote w:id="35">
    <w:p w:rsidR="005329DE" w:rsidRPr="006E0DCF" w:rsidRDefault="005329DE">
      <w:pPr>
        <w:pStyle w:val="Textonotapie"/>
        <w:rPr>
          <w:lang w:val="es-CO"/>
        </w:rPr>
      </w:pPr>
      <w:r>
        <w:rPr>
          <w:rStyle w:val="Refdenotaalpie"/>
        </w:rPr>
        <w:footnoteRef/>
      </w:r>
      <w:r>
        <w:t xml:space="preserve"> Piaget, Jean, Ensayo sobre la teoría de los valores cualitativos en sociología estática (“sincrónica”) (1941), en Estudios Sociológicos, México, Ariel, 1977, p. 155.</w:t>
      </w:r>
    </w:p>
  </w:footnote>
  <w:footnote w:id="36">
    <w:p w:rsidR="005329DE" w:rsidRPr="006E0DCF" w:rsidRDefault="005329DE">
      <w:pPr>
        <w:pStyle w:val="Textonotapie"/>
        <w:rPr>
          <w:lang w:val="es-CO"/>
        </w:rPr>
      </w:pPr>
      <w:r>
        <w:rPr>
          <w:rStyle w:val="Refdenotaalpie"/>
        </w:rPr>
        <w:footnoteRef/>
      </w:r>
      <w:r>
        <w:t xml:space="preserve"> Weber, Max, La superación” de la concepción materialista de la historia de R. Stammler, Ediciones Nueva Jurídica, Bogotá, 2001, p. 143.</w:t>
      </w:r>
    </w:p>
  </w:footnote>
  <w:footnote w:id="37">
    <w:p w:rsidR="005329DE" w:rsidRPr="006E0DCF" w:rsidRDefault="005329DE">
      <w:pPr>
        <w:pStyle w:val="Textonotapie"/>
        <w:rPr>
          <w:lang w:val="es-CO"/>
        </w:rPr>
      </w:pPr>
      <w:r>
        <w:rPr>
          <w:rStyle w:val="Refdenotaalpie"/>
        </w:rPr>
        <w:footnoteRef/>
      </w:r>
      <w:r>
        <w:t xml:space="preserve"> Kelsen, Hans, Los juicios de valor en la ciencia del Derecho, en Kelsen Hans, “La idea del Derecho Natural  y  otros  ensayos”,  Coyoacán,  México, 2010, p.197.</w:t>
      </w:r>
    </w:p>
  </w:footnote>
  <w:footnote w:id="38">
    <w:p w:rsidR="005329DE" w:rsidRPr="006E0DCF" w:rsidRDefault="005329DE">
      <w:pPr>
        <w:pStyle w:val="Textonotapie"/>
        <w:rPr>
          <w:lang w:val="es-CO"/>
        </w:rPr>
      </w:pPr>
      <w:r>
        <w:rPr>
          <w:rStyle w:val="Refdenotaalpie"/>
        </w:rPr>
        <w:footnoteRef/>
      </w:r>
      <w:r>
        <w:t xml:space="preserve"> Kelsen, Hans, Los juicios de valor en la ciencia del Derecho, en Kelsen Hans, “La idea del Derecho Natural  y  otros  ensayos”,  Coyoacán,  México, 2010, p.199.</w:t>
      </w:r>
    </w:p>
  </w:footnote>
  <w:footnote w:id="39">
    <w:p w:rsidR="005329DE" w:rsidRPr="006E0DCF" w:rsidRDefault="005329DE">
      <w:pPr>
        <w:pStyle w:val="Textonotapie"/>
        <w:rPr>
          <w:lang w:val="es-CO"/>
        </w:rPr>
      </w:pPr>
      <w:r>
        <w:rPr>
          <w:rStyle w:val="Refdenotaalpie"/>
        </w:rPr>
        <w:footnoteRef/>
      </w:r>
      <w:r>
        <w:t xml:space="preserve"> Kelsen, Hans, Teoría Pura del Derecho, VIII, 47.</w:t>
      </w:r>
    </w:p>
  </w:footnote>
  <w:footnote w:id="40">
    <w:p w:rsidR="005329DE" w:rsidRPr="006E0DCF" w:rsidRDefault="005329DE">
      <w:pPr>
        <w:pStyle w:val="Textonotapie"/>
        <w:rPr>
          <w:lang w:val="es-CO"/>
        </w:rPr>
      </w:pPr>
      <w:r>
        <w:rPr>
          <w:rStyle w:val="Refdenotaalpie"/>
        </w:rPr>
        <w:footnoteRef/>
      </w:r>
      <w:r>
        <w:t xml:space="preserve"> Propp, Vladimir, Morfología del Cuento, Madrid, Akal, 1985.</w:t>
      </w:r>
    </w:p>
  </w:footnote>
  <w:footnote w:id="41">
    <w:p w:rsidR="005329DE" w:rsidRPr="006E0DCF" w:rsidRDefault="005329DE">
      <w:pPr>
        <w:pStyle w:val="Textonotapie"/>
        <w:rPr>
          <w:lang w:val="es-CO"/>
        </w:rPr>
      </w:pPr>
      <w:r>
        <w:rPr>
          <w:rStyle w:val="Refdenotaalpie"/>
        </w:rPr>
        <w:footnoteRef/>
      </w:r>
      <w:r>
        <w:t xml:space="preserve"> Una regla universal por su naturaleza no contempla excepciones. Por eso es universal y no general. Cfr. Sexto Empírico, Adversus Mathematicos, I, 221-226.</w:t>
      </w:r>
    </w:p>
  </w:footnote>
  <w:footnote w:id="42">
    <w:p w:rsidR="005329DE" w:rsidRPr="0092543D" w:rsidRDefault="005329DE">
      <w:pPr>
        <w:pStyle w:val="Textonotapie"/>
        <w:rPr>
          <w:lang w:val="es-CO"/>
        </w:rPr>
      </w:pPr>
      <w:r>
        <w:rPr>
          <w:rStyle w:val="Refdenotaalpie"/>
        </w:rPr>
        <w:footnoteRef/>
      </w:r>
      <w:r>
        <w:t xml:space="preserve"> Cfr. Bueno Sánchez, Eramis, Lógicas no clásicas, aproximación a su concepción y formas de presentación, Unidad Académica de Ciencias Sociales Universidad Autónoma de Zacatecas, México, 2012, p. 13.</w:t>
      </w:r>
    </w:p>
  </w:footnote>
  <w:footnote w:id="43">
    <w:p w:rsidR="005329DE" w:rsidRPr="0092543D" w:rsidRDefault="005329DE" w:rsidP="0092543D">
      <w:pPr>
        <w:pStyle w:val="Textonotapie"/>
      </w:pPr>
      <w:r>
        <w:rPr>
          <w:rStyle w:val="Refdenotaalpie"/>
        </w:rPr>
        <w:footnoteRef/>
      </w:r>
      <w:r>
        <w:t xml:space="preserve"> Elorduy, E. El Estoicismo, Gredos, Madrid, 1972, p. 331.</w:t>
      </w:r>
    </w:p>
  </w:footnote>
  <w:footnote w:id="44">
    <w:p w:rsidR="005329DE" w:rsidRPr="0092543D" w:rsidRDefault="005329DE">
      <w:pPr>
        <w:pStyle w:val="Textonotapie"/>
        <w:rPr>
          <w:lang w:val="es-CO"/>
        </w:rPr>
      </w:pPr>
      <w:r>
        <w:rPr>
          <w:rStyle w:val="Refdenotaalpie"/>
        </w:rPr>
        <w:footnoteRef/>
      </w:r>
      <w:r>
        <w:t xml:space="preserve"> Aulio Gelio N.A., XIII, 3.</w:t>
      </w:r>
    </w:p>
  </w:footnote>
  <w:footnote w:id="45">
    <w:p w:rsidR="005329DE" w:rsidRDefault="005329DE" w:rsidP="0092543D">
      <w:pPr>
        <w:pStyle w:val="Textonotapie"/>
      </w:pPr>
      <w:r>
        <w:rPr>
          <w:rStyle w:val="Refdenotaalpie"/>
        </w:rPr>
        <w:footnoteRef/>
      </w:r>
      <w:r w:rsidRPr="0092543D">
        <w:rPr>
          <w:lang w:val="fr-FR"/>
        </w:rPr>
        <w:t xml:space="preserve"> [171] Atque etiam hoc mihi videor videre, esse quasdam cum adiunctione necessitudines, quasdam   simplices   et   absolutas.</w:t>
      </w:r>
      <w:r>
        <w:rPr>
          <w:lang w:val="fr-FR"/>
        </w:rPr>
        <w:t xml:space="preserve"> </w:t>
      </w:r>
      <w:r w:rsidRPr="0092543D">
        <w:rPr>
          <w:lang w:val="fr-FR"/>
        </w:rPr>
        <w:t xml:space="preserve">Nam   aliter dicere solemus: "Necesse est Casilinenses se dedere Hannibali"; aliter autem: "Necesse est Casilinum venire in Hannibalis potestatem".  Illic, in superiore, adiunctio est haec: "Nisi si malunt fame perire"; si enim id malunt, non est necesse; hoc inferius non item, propterea quod, sive velint Casilinenses se dedere sive famem perpeti atque ita perire, necesse est Casilinum venire in Hannibalis potestatem. Quid igitur haec perficere potest necessitudinis distributio? Prope dicam plurimum, cum locus necessitudinis videbitur incurrere.   Nam  cum  simplex  erit  necessitudo, nihil erit quod multa dicamus, cum eam nulla ratione lenire possimus; [172] cum autem ita necesse   erit,   si   aliquid   effugere   aut   adipisci elimus, tum  adiunctio illa  quid  habeat utilitatis aut quid honestatis, erit considerandum.... pariter autem esse multas res [necessitatis], ad quas similis adiunctio non accedit; quod genus "[ut] homines [mortales] necesse est interire", sine adiunctione; ut cibo utantur, non necesse est nisi cum illa exceptione "extra quam si nolint fame perire". </w:t>
      </w:r>
      <w:r>
        <w:t>Cicerón, De inventione, II, 171-173. También parece existir esta diferencia en Aristóteles tal como se señala en Metaf. 1015 a</w:t>
      </w:r>
    </w:p>
    <w:p w:rsidR="005329DE" w:rsidRPr="0092543D" w:rsidRDefault="005329DE" w:rsidP="0092543D">
      <w:pPr>
        <w:pStyle w:val="Textonotapie"/>
      </w:pPr>
      <w:r>
        <w:t>20-25. Aunque en griego no existen dos términos como en latín, Aristóteles distingue varios sentidos para la palabra anagkaion. Principalmente la  necesidad  condicional hipotética y de la incondicional simpliciter. La primera equivale a la necessitudo mientras que la segunda a la necessitas.</w:t>
      </w:r>
    </w:p>
  </w:footnote>
  <w:footnote w:id="46">
    <w:p w:rsidR="005329DE" w:rsidRPr="0092543D" w:rsidRDefault="005329DE" w:rsidP="0092543D">
      <w:pPr>
        <w:pStyle w:val="Textonotapie"/>
        <w:rPr>
          <w:lang w:val="es-CO"/>
        </w:rPr>
      </w:pPr>
      <w:r>
        <w:rPr>
          <w:rStyle w:val="Refdenotaalpie"/>
        </w:rPr>
        <w:footnoteRef/>
      </w:r>
      <w:r>
        <w:t xml:space="preserve"> Cfr.  El  comentario  de  Salvador  Núñez  a  la Invención Retórica de Cicerón, Gredos,   Madrid, </w:t>
      </w:r>
      <w:r w:rsidRPr="0092543D">
        <w:rPr>
          <w:lang w:val="es-CO"/>
        </w:rPr>
        <w:t>1997, p. 207.</w:t>
      </w:r>
    </w:p>
  </w:footnote>
  <w:footnote w:id="47">
    <w:p w:rsidR="005329DE" w:rsidRPr="0092543D" w:rsidRDefault="005329DE">
      <w:pPr>
        <w:pStyle w:val="Textonotapie"/>
        <w:rPr>
          <w:lang w:val="es-CO"/>
        </w:rPr>
      </w:pPr>
      <w:r>
        <w:rPr>
          <w:rStyle w:val="Refdenotaalpie"/>
        </w:rPr>
        <w:footnoteRef/>
      </w:r>
      <w:r>
        <w:t xml:space="preserve"> Cfr. Mates,   Benson, Lógica   matemática elemental, Ed. Tecnos, Madrid, 1974, p.259.</w:t>
      </w:r>
    </w:p>
  </w:footnote>
  <w:footnote w:id="48">
    <w:p w:rsidR="005329DE" w:rsidRPr="0092543D" w:rsidRDefault="005329DE" w:rsidP="0092543D">
      <w:pPr>
        <w:pStyle w:val="Textonotapie"/>
      </w:pPr>
      <w:r>
        <w:rPr>
          <w:rStyle w:val="Refdenotaalpie"/>
        </w:rPr>
        <w:footnoteRef/>
      </w:r>
      <w:r>
        <w:t xml:space="preserve"> Como señalando lo que “afirmamos” o estamos “diciendo”.</w:t>
      </w:r>
    </w:p>
  </w:footnote>
  <w:footnote w:id="49">
    <w:p w:rsidR="005329DE" w:rsidRPr="0092543D" w:rsidRDefault="005329DE">
      <w:pPr>
        <w:pStyle w:val="Textonotapie"/>
        <w:rPr>
          <w:lang w:val="es-CO"/>
        </w:rPr>
      </w:pPr>
      <w:r>
        <w:rPr>
          <w:rStyle w:val="Refdenotaalpie"/>
        </w:rPr>
        <w:footnoteRef/>
      </w:r>
      <w:r>
        <w:t xml:space="preserve"> Aristóteles, Top. I, 104 a, 20- 36.</w:t>
      </w:r>
    </w:p>
  </w:footnote>
  <w:footnote w:id="50">
    <w:p w:rsidR="005329DE" w:rsidRPr="00C067C7" w:rsidRDefault="005329DE">
      <w:pPr>
        <w:pStyle w:val="Textonotapie"/>
        <w:rPr>
          <w:lang w:val="es-CO"/>
        </w:rPr>
      </w:pPr>
      <w:r>
        <w:rPr>
          <w:rStyle w:val="Refdenotaalpie"/>
        </w:rPr>
        <w:footnoteRef/>
      </w:r>
      <w:r>
        <w:t xml:space="preserve"> Sexto Empírico, Adv. Math. VIII,112 ss.</w:t>
      </w:r>
    </w:p>
  </w:footnote>
  <w:footnote w:id="51">
    <w:p w:rsidR="005329DE" w:rsidRPr="006B3D93" w:rsidRDefault="005329DE">
      <w:pPr>
        <w:pStyle w:val="Textonotapie"/>
        <w:rPr>
          <w:lang w:val="es-CO"/>
        </w:rPr>
      </w:pPr>
      <w:r>
        <w:rPr>
          <w:rStyle w:val="Refdenotaalpie"/>
        </w:rPr>
        <w:footnoteRef/>
      </w:r>
      <w:r>
        <w:t xml:space="preserve"> </w:t>
      </w:r>
      <w:r w:rsidRPr="006B3D93">
        <w:t xml:space="preserve">Aristóteles, Peri Hermeneias, 18 a 35-33. Por esta misma razón cabe decir que necesariamente mañana habrá o no habrá una batalla naval, pero no que sea necesario que mañana se produzca una batalla naval ni que sea necesario que no se produzca ( Peri Hermeneias, 19 a 30 -32).  Para el estudio de este tema sugiero la lectura de Gaskin, Richard, The Sea battle and the master argument. </w:t>
      </w:r>
      <w:r w:rsidRPr="006B3D93">
        <w:rPr>
          <w:lang w:val="en-US"/>
        </w:rPr>
        <w:t xml:space="preserve">Aristotle and Diodorus Cronus on the metaphysics of the future. </w:t>
      </w:r>
      <w:r w:rsidRPr="006B3D93">
        <w:t>Walter de Gruyter, Berlin, Nueva York,  1995;  y  también  Sorabji,  Richard, Necesidad, causa y culpa. Perspectivas sobre la teoría de Aristóteles, UNAM, Instituto de Investigaciones Filosóficas, México, 2003.</w:t>
      </w:r>
    </w:p>
  </w:footnote>
  <w:footnote w:id="52">
    <w:p w:rsidR="005329DE" w:rsidRPr="006B3D93" w:rsidRDefault="005329DE">
      <w:pPr>
        <w:pStyle w:val="Textonotapie"/>
        <w:rPr>
          <w:lang w:val="es-CO"/>
        </w:rPr>
      </w:pPr>
      <w:r>
        <w:rPr>
          <w:rStyle w:val="Refdenotaalpie"/>
        </w:rPr>
        <w:footnoteRef/>
      </w:r>
      <w:r>
        <w:t xml:space="preserve"> Kelsen, Hans, La aparición de la ley de causalidad a partir del principio de retribución, en Kelsen Hans, “La idea del Derecho Natural y otros ensayos”, Coyoacán, México, 2010, p. 78.</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057C2"/>
    <w:multiLevelType w:val="hybridMultilevel"/>
    <w:tmpl w:val="0D1EAC1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9DE0F72"/>
    <w:multiLevelType w:val="hybridMultilevel"/>
    <w:tmpl w:val="73B8CAB6"/>
    <w:lvl w:ilvl="0" w:tplc="49386866">
      <w:start w:val="1"/>
      <w:numFmt w:val="lowerLetter"/>
      <w:lvlText w:val="%1)"/>
      <w:lvlJc w:val="left"/>
      <w:pPr>
        <w:ind w:left="870" w:hanging="51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C2C010E"/>
    <w:multiLevelType w:val="hybridMultilevel"/>
    <w:tmpl w:val="36B060F2"/>
    <w:lvl w:ilvl="0" w:tplc="240A0017">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15:restartNumberingAfterBreak="0">
    <w:nsid w:val="26D867D3"/>
    <w:multiLevelType w:val="hybridMultilevel"/>
    <w:tmpl w:val="D41CC37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57325553"/>
    <w:multiLevelType w:val="hybridMultilevel"/>
    <w:tmpl w:val="3B42CA7E"/>
    <w:lvl w:ilvl="0" w:tplc="240A0017">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66C67932"/>
    <w:multiLevelType w:val="hybridMultilevel"/>
    <w:tmpl w:val="7684297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78262C7E"/>
    <w:multiLevelType w:val="hybridMultilevel"/>
    <w:tmpl w:val="F8186F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7EB4230F"/>
    <w:multiLevelType w:val="hybridMultilevel"/>
    <w:tmpl w:val="CEE0E15A"/>
    <w:lvl w:ilvl="0" w:tplc="D4C890A0">
      <w:start w:val="1"/>
      <w:numFmt w:val="lowerLetter"/>
      <w:lvlText w:val="%1)"/>
      <w:lvlJc w:val="left"/>
      <w:pPr>
        <w:ind w:left="870" w:hanging="51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7"/>
  </w:num>
  <w:num w:numId="5">
    <w:abstractNumId w:val="3"/>
  </w:num>
  <w:num w:numId="6">
    <w:abstractNumId w:val="6"/>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921"/>
    <w:rsid w:val="00440BCC"/>
    <w:rsid w:val="005329DE"/>
    <w:rsid w:val="006B3D93"/>
    <w:rsid w:val="006C32CB"/>
    <w:rsid w:val="006E0DCF"/>
    <w:rsid w:val="008324E9"/>
    <w:rsid w:val="008855B7"/>
    <w:rsid w:val="0092543D"/>
    <w:rsid w:val="00934FF0"/>
    <w:rsid w:val="00972D97"/>
    <w:rsid w:val="00A96712"/>
    <w:rsid w:val="00AD2E8F"/>
    <w:rsid w:val="00B1573C"/>
    <w:rsid w:val="00B81921"/>
    <w:rsid w:val="00C05440"/>
    <w:rsid w:val="00C067C7"/>
    <w:rsid w:val="00C63ED2"/>
    <w:rsid w:val="00C93CDA"/>
    <w:rsid w:val="00E05D3E"/>
    <w:rsid w:val="00E30714"/>
    <w:rsid w:val="00E3493B"/>
    <w:rsid w:val="00EB49DC"/>
    <w:rsid w:val="00F56374"/>
    <w:rsid w:val="00FD77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D988F5-5076-4336-BF87-5F148E790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Garamond"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EB49DC"/>
    <w:pPr>
      <w:widowControl w:val="0"/>
      <w:autoSpaceDE w:val="0"/>
      <w:autoSpaceDN w:val="0"/>
      <w:spacing w:after="0" w:line="480" w:lineRule="auto"/>
    </w:pPr>
    <w:rPr>
      <w:rFonts w:ascii="Verdana" w:hAnsi="Verdana" w:cs="Garamond"/>
      <w:sz w:val="24"/>
      <w:lang w:val="es-ES" w:eastAsia="es-ES" w:bidi="es-ES"/>
    </w:rPr>
  </w:style>
  <w:style w:type="paragraph" w:styleId="Ttulo1">
    <w:name w:val="heading 1"/>
    <w:basedOn w:val="Normal"/>
    <w:link w:val="Ttulo1Car"/>
    <w:autoRedefine/>
    <w:uiPriority w:val="1"/>
    <w:qFormat/>
    <w:rsid w:val="00A96712"/>
    <w:pPr>
      <w:spacing w:before="100"/>
      <w:outlineLvl w:val="0"/>
    </w:pPr>
    <w:rPr>
      <w:b/>
      <w:sz w:val="32"/>
      <w:szCs w:val="60"/>
    </w:rPr>
  </w:style>
  <w:style w:type="paragraph" w:styleId="Ttulo2">
    <w:name w:val="heading 2"/>
    <w:basedOn w:val="Normal"/>
    <w:next w:val="Normal"/>
    <w:link w:val="Ttulo2Car"/>
    <w:uiPriority w:val="9"/>
    <w:unhideWhenUsed/>
    <w:qFormat/>
    <w:rsid w:val="00FD7774"/>
    <w:pPr>
      <w:keepNext/>
      <w:keepLines/>
      <w:spacing w:before="200"/>
      <w:outlineLvl w:val="1"/>
    </w:pPr>
    <w:rPr>
      <w:rFonts w:eastAsiaTheme="majorEastAsia" w:cstheme="majorBidi"/>
      <w:b/>
      <w:bCs/>
      <w:sz w:val="28"/>
      <w:szCs w:val="26"/>
    </w:rPr>
  </w:style>
  <w:style w:type="paragraph" w:styleId="Ttulo3">
    <w:name w:val="heading 3"/>
    <w:basedOn w:val="Normal"/>
    <w:next w:val="Normal"/>
    <w:link w:val="Ttulo3Car"/>
    <w:uiPriority w:val="9"/>
    <w:unhideWhenUsed/>
    <w:qFormat/>
    <w:rsid w:val="00FD7774"/>
    <w:pPr>
      <w:keepNext/>
      <w:keepLines/>
      <w:spacing w:before="200"/>
      <w:outlineLvl w:val="2"/>
    </w:pPr>
    <w:rPr>
      <w:rFonts w:eastAsiaTheme="majorEastAsia" w:cstheme="majorBidi"/>
      <w:b/>
      <w:bCs/>
    </w:rPr>
  </w:style>
  <w:style w:type="paragraph" w:styleId="Ttulo4">
    <w:name w:val="heading 4"/>
    <w:basedOn w:val="Normal"/>
    <w:next w:val="Normal"/>
    <w:link w:val="Ttulo4Car"/>
    <w:uiPriority w:val="9"/>
    <w:semiHidden/>
    <w:unhideWhenUsed/>
    <w:qFormat/>
    <w:rsid w:val="00B1573C"/>
    <w:pPr>
      <w:keepNext/>
      <w:keepLines/>
      <w:spacing w:before="200"/>
      <w:outlineLvl w:val="3"/>
    </w:pPr>
    <w:rPr>
      <w:rFonts w:eastAsiaTheme="majorEastAsia" w:cstheme="majorBidi"/>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440BCC"/>
    <w:pPr>
      <w:spacing w:after="300"/>
      <w:contextualSpacing/>
    </w:pPr>
    <w:rPr>
      <w:rFonts w:eastAsiaTheme="majorEastAsia" w:cstheme="majorBidi"/>
      <w:b/>
      <w:spacing w:val="5"/>
      <w:kern w:val="28"/>
      <w:sz w:val="36"/>
      <w:szCs w:val="52"/>
    </w:rPr>
  </w:style>
  <w:style w:type="character" w:customStyle="1" w:styleId="TtuloCar">
    <w:name w:val="Título Car"/>
    <w:basedOn w:val="Fuentedeprrafopredeter"/>
    <w:link w:val="Ttulo"/>
    <w:uiPriority w:val="10"/>
    <w:rsid w:val="00440BCC"/>
    <w:rPr>
      <w:rFonts w:ascii="Verdana" w:eastAsiaTheme="majorEastAsia" w:hAnsi="Verdana" w:cstheme="majorBidi"/>
      <w:b/>
      <w:spacing w:val="5"/>
      <w:kern w:val="28"/>
      <w:sz w:val="36"/>
      <w:szCs w:val="52"/>
    </w:rPr>
  </w:style>
  <w:style w:type="character" w:customStyle="1" w:styleId="Ttulo1Car">
    <w:name w:val="Título 1 Car"/>
    <w:basedOn w:val="Fuentedeprrafopredeter"/>
    <w:link w:val="Ttulo1"/>
    <w:uiPriority w:val="1"/>
    <w:rsid w:val="00A96712"/>
    <w:rPr>
      <w:rFonts w:ascii="Verdana" w:hAnsi="Verdana" w:cs="Garamond"/>
      <w:b/>
      <w:sz w:val="32"/>
      <w:szCs w:val="60"/>
      <w:lang w:val="es-ES" w:eastAsia="es-ES" w:bidi="es-ES"/>
    </w:rPr>
  </w:style>
  <w:style w:type="character" w:customStyle="1" w:styleId="Ttulo2Car">
    <w:name w:val="Título 2 Car"/>
    <w:basedOn w:val="Fuentedeprrafopredeter"/>
    <w:link w:val="Ttulo2"/>
    <w:uiPriority w:val="9"/>
    <w:rsid w:val="00FD7774"/>
    <w:rPr>
      <w:rFonts w:ascii="Verdana" w:eastAsiaTheme="majorEastAsia" w:hAnsi="Verdana" w:cstheme="majorBidi"/>
      <w:b/>
      <w:bCs/>
      <w:sz w:val="28"/>
      <w:szCs w:val="26"/>
    </w:rPr>
  </w:style>
  <w:style w:type="character" w:customStyle="1" w:styleId="Ttulo3Car">
    <w:name w:val="Título 3 Car"/>
    <w:basedOn w:val="Fuentedeprrafopredeter"/>
    <w:link w:val="Ttulo3"/>
    <w:uiPriority w:val="9"/>
    <w:rsid w:val="00FD7774"/>
    <w:rPr>
      <w:rFonts w:ascii="Verdana" w:eastAsiaTheme="majorEastAsia" w:hAnsi="Verdana" w:cstheme="majorBidi"/>
      <w:b/>
      <w:bCs/>
      <w:sz w:val="24"/>
    </w:rPr>
  </w:style>
  <w:style w:type="character" w:customStyle="1" w:styleId="Ttulo4Car">
    <w:name w:val="Título 4 Car"/>
    <w:basedOn w:val="Fuentedeprrafopredeter"/>
    <w:link w:val="Ttulo4"/>
    <w:uiPriority w:val="9"/>
    <w:semiHidden/>
    <w:rsid w:val="00B1573C"/>
    <w:rPr>
      <w:rFonts w:ascii="Verdana" w:eastAsiaTheme="majorEastAsia" w:hAnsi="Verdana" w:cstheme="majorBidi"/>
      <w:bCs/>
      <w:iCs/>
      <w:sz w:val="24"/>
    </w:rPr>
  </w:style>
  <w:style w:type="paragraph" w:styleId="Encabezado">
    <w:name w:val="header"/>
    <w:basedOn w:val="Normal"/>
    <w:link w:val="EncabezadoCar"/>
    <w:uiPriority w:val="99"/>
    <w:unhideWhenUsed/>
    <w:rsid w:val="00B8192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81921"/>
    <w:rPr>
      <w:rFonts w:ascii="Verdana" w:hAnsi="Verdana" w:cs="Garamond"/>
      <w:sz w:val="24"/>
      <w:lang w:val="es-ES" w:eastAsia="es-ES" w:bidi="es-ES"/>
    </w:rPr>
  </w:style>
  <w:style w:type="paragraph" w:styleId="Piedepgina">
    <w:name w:val="footer"/>
    <w:basedOn w:val="Normal"/>
    <w:link w:val="PiedepginaCar"/>
    <w:uiPriority w:val="99"/>
    <w:unhideWhenUsed/>
    <w:rsid w:val="00B8192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81921"/>
    <w:rPr>
      <w:rFonts w:ascii="Verdana" w:hAnsi="Verdana" w:cs="Garamond"/>
      <w:sz w:val="24"/>
      <w:lang w:val="es-ES" w:eastAsia="es-ES" w:bidi="es-ES"/>
    </w:rPr>
  </w:style>
  <w:style w:type="paragraph" w:styleId="Textodeglobo">
    <w:name w:val="Balloon Text"/>
    <w:basedOn w:val="Normal"/>
    <w:link w:val="TextodegloboCar"/>
    <w:uiPriority w:val="99"/>
    <w:semiHidden/>
    <w:unhideWhenUsed/>
    <w:rsid w:val="00B81921"/>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81921"/>
    <w:rPr>
      <w:rFonts w:ascii="Tahoma" w:hAnsi="Tahoma" w:cs="Tahoma"/>
      <w:sz w:val="16"/>
      <w:szCs w:val="16"/>
      <w:lang w:val="es-ES" w:eastAsia="es-ES" w:bidi="es-ES"/>
    </w:rPr>
  </w:style>
  <w:style w:type="paragraph" w:styleId="Textonotapie">
    <w:name w:val="footnote text"/>
    <w:basedOn w:val="Normal"/>
    <w:link w:val="TextonotapieCar"/>
    <w:uiPriority w:val="99"/>
    <w:unhideWhenUsed/>
    <w:rsid w:val="00B81921"/>
    <w:pPr>
      <w:spacing w:line="240" w:lineRule="auto"/>
    </w:pPr>
    <w:rPr>
      <w:sz w:val="20"/>
      <w:szCs w:val="20"/>
    </w:rPr>
  </w:style>
  <w:style w:type="character" w:customStyle="1" w:styleId="TextonotapieCar">
    <w:name w:val="Texto nota pie Car"/>
    <w:basedOn w:val="Fuentedeprrafopredeter"/>
    <w:link w:val="Textonotapie"/>
    <w:uiPriority w:val="99"/>
    <w:rsid w:val="00B81921"/>
    <w:rPr>
      <w:rFonts w:ascii="Verdana" w:hAnsi="Verdana" w:cs="Garamond"/>
      <w:sz w:val="20"/>
      <w:szCs w:val="20"/>
      <w:lang w:val="es-ES" w:eastAsia="es-ES" w:bidi="es-ES"/>
    </w:rPr>
  </w:style>
  <w:style w:type="character" w:styleId="Refdenotaalpie">
    <w:name w:val="footnote reference"/>
    <w:basedOn w:val="Fuentedeprrafopredeter"/>
    <w:uiPriority w:val="99"/>
    <w:semiHidden/>
    <w:unhideWhenUsed/>
    <w:rsid w:val="00B81921"/>
    <w:rPr>
      <w:vertAlign w:val="superscript"/>
    </w:rPr>
  </w:style>
  <w:style w:type="paragraph" w:styleId="Prrafodelista">
    <w:name w:val="List Paragraph"/>
    <w:basedOn w:val="Normal"/>
    <w:uiPriority w:val="34"/>
    <w:qFormat/>
    <w:rsid w:val="00C63ED2"/>
    <w:pPr>
      <w:ind w:left="720"/>
      <w:contextualSpacing/>
    </w:pPr>
  </w:style>
  <w:style w:type="paragraph" w:styleId="TDC1">
    <w:name w:val="toc 1"/>
    <w:basedOn w:val="Normal"/>
    <w:next w:val="Normal"/>
    <w:autoRedefine/>
    <w:uiPriority w:val="39"/>
    <w:unhideWhenUsed/>
    <w:rsid w:val="008855B7"/>
    <w:pPr>
      <w:spacing w:after="100"/>
    </w:pPr>
  </w:style>
  <w:style w:type="paragraph" w:styleId="TDC2">
    <w:name w:val="toc 2"/>
    <w:basedOn w:val="Normal"/>
    <w:next w:val="Normal"/>
    <w:autoRedefine/>
    <w:uiPriority w:val="39"/>
    <w:unhideWhenUsed/>
    <w:rsid w:val="008855B7"/>
    <w:pPr>
      <w:spacing w:after="100"/>
      <w:ind w:left="240"/>
    </w:pPr>
  </w:style>
  <w:style w:type="paragraph" w:styleId="TDC3">
    <w:name w:val="toc 3"/>
    <w:basedOn w:val="Normal"/>
    <w:next w:val="Normal"/>
    <w:autoRedefine/>
    <w:uiPriority w:val="39"/>
    <w:unhideWhenUsed/>
    <w:rsid w:val="008855B7"/>
    <w:pPr>
      <w:spacing w:after="100"/>
      <w:ind w:left="480"/>
    </w:pPr>
  </w:style>
  <w:style w:type="character" w:styleId="Hipervnculo">
    <w:name w:val="Hyperlink"/>
    <w:basedOn w:val="Fuentedeprrafopredeter"/>
    <w:uiPriority w:val="99"/>
    <w:unhideWhenUsed/>
    <w:rsid w:val="008855B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9114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153B41-84BC-4D5C-A9CF-3D0C7466C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68</Pages>
  <Words>13159</Words>
  <Characters>72377</Characters>
  <Application>Microsoft Office Word</Application>
  <DocSecurity>0</DocSecurity>
  <Lines>603</Lines>
  <Paragraphs>170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85366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Hernández Franco, Juan Abelardo</dc:creator>
  <cp:lastModifiedBy>Cristian Ospina</cp:lastModifiedBy>
  <cp:revision>6</cp:revision>
  <dcterms:created xsi:type="dcterms:W3CDTF">2021-08-29T23:44:00Z</dcterms:created>
  <dcterms:modified xsi:type="dcterms:W3CDTF">2022-08-26T13:18:00Z</dcterms:modified>
</cp:coreProperties>
</file>