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741" w:rsidRPr="00C03118" w:rsidRDefault="00D64741" w:rsidP="00C03118">
      <w:pPr>
        <w:pStyle w:val="Ttulo1"/>
        <w:spacing w:line="480" w:lineRule="auto"/>
        <w:rPr>
          <w:sz w:val="36"/>
        </w:rPr>
      </w:pPr>
      <w:bookmarkStart w:id="0" w:name="_Toc76155624"/>
      <w:r w:rsidRPr="00C03118">
        <w:rPr>
          <w:sz w:val="36"/>
        </w:rPr>
        <w:t>Factores de atribución de la competencia de los jueces civiles en el Código General del Proceso</w:t>
      </w:r>
      <w:bookmarkEnd w:id="0"/>
    </w:p>
    <w:p w:rsidR="00D64741" w:rsidRPr="00C03118" w:rsidRDefault="00D64741" w:rsidP="00C03118">
      <w:pPr>
        <w:spacing w:line="480" w:lineRule="auto"/>
        <w:rPr>
          <w:sz w:val="24"/>
        </w:rPr>
      </w:pPr>
      <w:r w:rsidRPr="00C03118">
        <w:rPr>
          <w:sz w:val="24"/>
        </w:rPr>
        <w:t>Henry Sanabria Santos</w:t>
      </w:r>
    </w:p>
    <w:p w:rsidR="00773D67" w:rsidRPr="00C03118" w:rsidRDefault="00773D67" w:rsidP="00C03118">
      <w:pPr>
        <w:spacing w:line="480" w:lineRule="auto"/>
        <w:rPr>
          <w:sz w:val="24"/>
        </w:rPr>
      </w:pPr>
      <w:r w:rsidRPr="00C03118">
        <w:rPr>
          <w:sz w:val="24"/>
        </w:rPr>
        <w:t>Escritos sobre diversos temas de Derecho Procesal</w:t>
      </w:r>
      <w:r w:rsidRPr="00C03118">
        <w:rPr>
          <w:sz w:val="24"/>
        </w:rPr>
        <w:br w:type="page"/>
      </w:r>
    </w:p>
    <w:sdt>
      <w:sdtPr>
        <w:rPr>
          <w:rFonts w:ascii="Verdana" w:eastAsiaTheme="minorHAnsi" w:hAnsi="Verdana" w:cstheme="minorBidi"/>
          <w:b w:val="0"/>
          <w:bCs w:val="0"/>
          <w:color w:val="auto"/>
          <w:sz w:val="24"/>
          <w:szCs w:val="24"/>
          <w:lang w:val="es-ES" w:eastAsia="en-US"/>
        </w:rPr>
        <w:id w:val="1012575091"/>
        <w:docPartObj>
          <w:docPartGallery w:val="Table of Contents"/>
          <w:docPartUnique/>
        </w:docPartObj>
      </w:sdtPr>
      <w:sdtEndPr/>
      <w:sdtContent>
        <w:p w:rsidR="003D446E" w:rsidRPr="00C03118" w:rsidRDefault="003D446E" w:rsidP="00C03118">
          <w:pPr>
            <w:pStyle w:val="TtuloTDC"/>
            <w:spacing w:line="480" w:lineRule="auto"/>
            <w:jc w:val="both"/>
            <w:rPr>
              <w:rFonts w:ascii="Verdana" w:hAnsi="Verdana"/>
              <w:color w:val="auto"/>
              <w:sz w:val="24"/>
              <w:szCs w:val="24"/>
            </w:rPr>
          </w:pPr>
          <w:r w:rsidRPr="00C03118">
            <w:rPr>
              <w:rFonts w:ascii="Verdana" w:hAnsi="Verdana"/>
              <w:color w:val="auto"/>
              <w:sz w:val="24"/>
              <w:szCs w:val="24"/>
              <w:lang w:val="es-ES"/>
            </w:rPr>
            <w:t>Contenido</w:t>
          </w:r>
        </w:p>
        <w:p w:rsidR="00C03118" w:rsidRPr="00C03118" w:rsidRDefault="003D446E" w:rsidP="00C03118">
          <w:pPr>
            <w:pStyle w:val="TDC1"/>
            <w:tabs>
              <w:tab w:val="right" w:leader="dot" w:pos="8828"/>
            </w:tabs>
            <w:spacing w:line="480" w:lineRule="auto"/>
            <w:rPr>
              <w:rFonts w:eastAsiaTheme="minorEastAsia"/>
              <w:noProof/>
              <w:sz w:val="24"/>
              <w:szCs w:val="24"/>
              <w:lang w:eastAsia="es-CO"/>
            </w:rPr>
          </w:pPr>
          <w:r w:rsidRPr="00C03118">
            <w:rPr>
              <w:sz w:val="24"/>
              <w:szCs w:val="24"/>
            </w:rPr>
            <w:fldChar w:fldCharType="begin"/>
          </w:r>
          <w:r w:rsidRPr="00C03118">
            <w:rPr>
              <w:sz w:val="24"/>
              <w:szCs w:val="24"/>
            </w:rPr>
            <w:instrText xml:space="preserve"> TOC \o "1-3" \h \z \u </w:instrText>
          </w:r>
          <w:r w:rsidRPr="00C03118">
            <w:rPr>
              <w:sz w:val="24"/>
              <w:szCs w:val="24"/>
            </w:rPr>
            <w:fldChar w:fldCharType="separate"/>
          </w:r>
          <w:hyperlink w:anchor="_Toc76155624" w:history="1">
            <w:r w:rsidR="00C03118" w:rsidRPr="00C03118">
              <w:rPr>
                <w:rStyle w:val="Hipervnculo"/>
                <w:noProof/>
                <w:sz w:val="24"/>
                <w:szCs w:val="24"/>
              </w:rPr>
              <w:t>Factores de atribución de la competencia de los jueces civiles en el Código General del Proceso</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_Toc76155624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1</w:t>
            </w:r>
            <w:r w:rsidR="00C03118" w:rsidRPr="00C03118">
              <w:rPr>
                <w:noProof/>
                <w:webHidden/>
                <w:sz w:val="24"/>
                <w:szCs w:val="24"/>
              </w:rPr>
              <w:fldChar w:fldCharType="end"/>
            </w:r>
          </w:hyperlink>
        </w:p>
        <w:p w:rsidR="00C03118" w:rsidRPr="00C03118" w:rsidRDefault="006E6AAC" w:rsidP="00C03118">
          <w:pPr>
            <w:pStyle w:val="TDC1"/>
            <w:tabs>
              <w:tab w:val="right" w:leader="dot" w:pos="8828"/>
            </w:tabs>
            <w:spacing w:line="480" w:lineRule="auto"/>
            <w:rPr>
              <w:rFonts w:eastAsiaTheme="minorEastAsia"/>
              <w:noProof/>
              <w:sz w:val="24"/>
              <w:szCs w:val="24"/>
              <w:lang w:eastAsia="es-CO"/>
            </w:rPr>
          </w:pPr>
          <w:hyperlink w:anchor="_Toc76155625" w:history="1">
            <w:r w:rsidR="00C03118" w:rsidRPr="00C03118">
              <w:rPr>
                <w:rStyle w:val="Hipervnculo"/>
                <w:noProof/>
                <w:sz w:val="24"/>
                <w:szCs w:val="24"/>
              </w:rPr>
              <w:t>Introducción</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_Toc76155625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3</w:t>
            </w:r>
            <w:r w:rsidR="00C03118" w:rsidRPr="00C03118">
              <w:rPr>
                <w:noProof/>
                <w:webHidden/>
                <w:sz w:val="24"/>
                <w:szCs w:val="24"/>
              </w:rPr>
              <w:fldChar w:fldCharType="end"/>
            </w:r>
          </w:hyperlink>
        </w:p>
        <w:p w:rsidR="00C03118" w:rsidRPr="00C03118" w:rsidRDefault="006E6AAC" w:rsidP="00C03118">
          <w:pPr>
            <w:pStyle w:val="TDC1"/>
            <w:tabs>
              <w:tab w:val="left" w:pos="660"/>
              <w:tab w:val="right" w:leader="dot" w:pos="8828"/>
            </w:tabs>
            <w:spacing w:line="480" w:lineRule="auto"/>
            <w:rPr>
              <w:rFonts w:eastAsiaTheme="minorEastAsia"/>
              <w:noProof/>
              <w:sz w:val="24"/>
              <w:szCs w:val="24"/>
              <w:lang w:eastAsia="es-CO"/>
            </w:rPr>
          </w:pPr>
          <w:hyperlink w:anchor="_Toc76155626" w:history="1">
            <w:r w:rsidR="00C03118" w:rsidRPr="00C03118">
              <w:rPr>
                <w:rStyle w:val="Hipervnculo"/>
                <w:noProof/>
                <w:sz w:val="24"/>
                <w:szCs w:val="24"/>
              </w:rPr>
              <w:t>1.</w:t>
            </w:r>
            <w:r w:rsidR="00C03118" w:rsidRPr="00C03118">
              <w:rPr>
                <w:rFonts w:eastAsiaTheme="minorEastAsia"/>
                <w:noProof/>
                <w:sz w:val="24"/>
                <w:szCs w:val="24"/>
                <w:lang w:eastAsia="es-CO"/>
              </w:rPr>
              <w:tab/>
            </w:r>
            <w:r w:rsidR="00C03118" w:rsidRPr="00C03118">
              <w:rPr>
                <w:rStyle w:val="Hipervnculo"/>
                <w:noProof/>
                <w:sz w:val="24"/>
                <w:szCs w:val="24"/>
              </w:rPr>
              <w:t>Los factores determinantes de la competencia</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_Toc76155626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9</w:t>
            </w:r>
            <w:r w:rsidR="00C03118" w:rsidRPr="00C03118">
              <w:rPr>
                <w:noProof/>
                <w:webHidden/>
                <w:sz w:val="24"/>
                <w:szCs w:val="24"/>
              </w:rPr>
              <w:fldChar w:fldCharType="end"/>
            </w:r>
          </w:hyperlink>
        </w:p>
        <w:p w:rsidR="00C03118" w:rsidRPr="00C03118" w:rsidRDefault="006E6AAC" w:rsidP="00C03118">
          <w:pPr>
            <w:pStyle w:val="TDC2"/>
            <w:tabs>
              <w:tab w:val="left" w:pos="880"/>
              <w:tab w:val="right" w:leader="dot" w:pos="8828"/>
            </w:tabs>
            <w:spacing w:line="480" w:lineRule="auto"/>
            <w:rPr>
              <w:rFonts w:eastAsiaTheme="minorEastAsia"/>
              <w:noProof/>
              <w:sz w:val="24"/>
              <w:szCs w:val="24"/>
              <w:lang w:eastAsia="es-CO"/>
            </w:rPr>
          </w:pPr>
          <w:hyperlink w:anchor="_Toc76155627" w:history="1">
            <w:r w:rsidR="00C03118" w:rsidRPr="00C03118">
              <w:rPr>
                <w:rStyle w:val="Hipervnculo"/>
                <w:noProof/>
                <w:sz w:val="24"/>
                <w:szCs w:val="24"/>
              </w:rPr>
              <w:t>1.1</w:t>
            </w:r>
            <w:r w:rsidR="00C03118" w:rsidRPr="00C03118">
              <w:rPr>
                <w:rFonts w:eastAsiaTheme="minorEastAsia"/>
                <w:noProof/>
                <w:sz w:val="24"/>
                <w:szCs w:val="24"/>
                <w:lang w:eastAsia="es-CO"/>
              </w:rPr>
              <w:tab/>
            </w:r>
            <w:r w:rsidR="00C03118" w:rsidRPr="00C03118">
              <w:rPr>
                <w:rStyle w:val="Hipervnculo"/>
                <w:noProof/>
                <w:sz w:val="24"/>
                <w:szCs w:val="24"/>
              </w:rPr>
              <w:t>Factor objetivo: naturaleza del asunto y cuantía</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_Toc76155627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9</w:t>
            </w:r>
            <w:r w:rsidR="00C03118" w:rsidRPr="00C03118">
              <w:rPr>
                <w:noProof/>
                <w:webHidden/>
                <w:sz w:val="24"/>
                <w:szCs w:val="24"/>
              </w:rPr>
              <w:fldChar w:fldCharType="end"/>
            </w:r>
          </w:hyperlink>
        </w:p>
        <w:p w:rsidR="00C03118" w:rsidRPr="00C03118" w:rsidRDefault="006E6AAC" w:rsidP="00C03118">
          <w:pPr>
            <w:pStyle w:val="TDC2"/>
            <w:tabs>
              <w:tab w:val="left" w:pos="880"/>
              <w:tab w:val="right" w:leader="dot" w:pos="8828"/>
            </w:tabs>
            <w:spacing w:line="480" w:lineRule="auto"/>
            <w:rPr>
              <w:rFonts w:eastAsiaTheme="minorEastAsia"/>
              <w:noProof/>
              <w:sz w:val="24"/>
              <w:szCs w:val="24"/>
              <w:lang w:eastAsia="es-CO"/>
            </w:rPr>
          </w:pPr>
          <w:hyperlink w:anchor="_Toc76155628" w:history="1">
            <w:r w:rsidR="00C03118" w:rsidRPr="00C03118">
              <w:rPr>
                <w:rStyle w:val="Hipervnculo"/>
                <w:noProof/>
                <w:sz w:val="24"/>
                <w:szCs w:val="24"/>
              </w:rPr>
              <w:t>1.2</w:t>
            </w:r>
            <w:r w:rsidR="00C03118" w:rsidRPr="00C03118">
              <w:rPr>
                <w:rFonts w:eastAsiaTheme="minorEastAsia"/>
                <w:noProof/>
                <w:sz w:val="24"/>
                <w:szCs w:val="24"/>
                <w:lang w:eastAsia="es-CO"/>
              </w:rPr>
              <w:tab/>
            </w:r>
            <w:r w:rsidR="00C03118" w:rsidRPr="00C03118">
              <w:rPr>
                <w:rStyle w:val="Hipervnculo"/>
                <w:noProof/>
                <w:sz w:val="24"/>
                <w:szCs w:val="24"/>
              </w:rPr>
              <w:t>Factor subjetivo</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_Toc76155628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19</w:t>
            </w:r>
            <w:r w:rsidR="00C03118" w:rsidRPr="00C03118">
              <w:rPr>
                <w:noProof/>
                <w:webHidden/>
                <w:sz w:val="24"/>
                <w:szCs w:val="24"/>
              </w:rPr>
              <w:fldChar w:fldCharType="end"/>
            </w:r>
          </w:hyperlink>
        </w:p>
        <w:p w:rsidR="00C03118" w:rsidRPr="00C03118" w:rsidRDefault="006E6AAC" w:rsidP="00C03118">
          <w:pPr>
            <w:pStyle w:val="TDC2"/>
            <w:tabs>
              <w:tab w:val="left" w:pos="880"/>
              <w:tab w:val="right" w:leader="dot" w:pos="8828"/>
            </w:tabs>
            <w:spacing w:line="480" w:lineRule="auto"/>
            <w:rPr>
              <w:rFonts w:eastAsiaTheme="minorEastAsia"/>
              <w:noProof/>
              <w:sz w:val="24"/>
              <w:szCs w:val="24"/>
              <w:lang w:eastAsia="es-CO"/>
            </w:rPr>
          </w:pPr>
          <w:hyperlink w:anchor="_Toc76155629" w:history="1">
            <w:r w:rsidR="00C03118" w:rsidRPr="00C03118">
              <w:rPr>
                <w:rStyle w:val="Hipervnculo"/>
                <w:noProof/>
                <w:sz w:val="24"/>
                <w:szCs w:val="24"/>
              </w:rPr>
              <w:t>1.3</w:t>
            </w:r>
            <w:r w:rsidR="00C03118" w:rsidRPr="00C03118">
              <w:rPr>
                <w:rFonts w:eastAsiaTheme="minorEastAsia"/>
                <w:noProof/>
                <w:sz w:val="24"/>
                <w:szCs w:val="24"/>
                <w:lang w:eastAsia="es-CO"/>
              </w:rPr>
              <w:tab/>
            </w:r>
            <w:r w:rsidR="00C03118" w:rsidRPr="00C03118">
              <w:rPr>
                <w:rStyle w:val="Hipervnculo"/>
                <w:noProof/>
                <w:sz w:val="24"/>
                <w:szCs w:val="24"/>
              </w:rPr>
              <w:t>Factor funcional</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_Toc76155629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21</w:t>
            </w:r>
            <w:r w:rsidR="00C03118" w:rsidRPr="00C03118">
              <w:rPr>
                <w:noProof/>
                <w:webHidden/>
                <w:sz w:val="24"/>
                <w:szCs w:val="24"/>
              </w:rPr>
              <w:fldChar w:fldCharType="end"/>
            </w:r>
          </w:hyperlink>
        </w:p>
        <w:p w:rsidR="00C03118" w:rsidRPr="00C03118" w:rsidRDefault="006E6AAC" w:rsidP="00C03118">
          <w:pPr>
            <w:pStyle w:val="TDC2"/>
            <w:tabs>
              <w:tab w:val="left" w:pos="880"/>
              <w:tab w:val="right" w:leader="dot" w:pos="8828"/>
            </w:tabs>
            <w:spacing w:line="480" w:lineRule="auto"/>
            <w:rPr>
              <w:rFonts w:eastAsiaTheme="minorEastAsia"/>
              <w:noProof/>
              <w:sz w:val="24"/>
              <w:szCs w:val="24"/>
              <w:lang w:eastAsia="es-CO"/>
            </w:rPr>
          </w:pPr>
          <w:hyperlink w:anchor="_Toc76155630" w:history="1">
            <w:r w:rsidR="00C03118" w:rsidRPr="00C03118">
              <w:rPr>
                <w:rStyle w:val="Hipervnculo"/>
                <w:noProof/>
                <w:sz w:val="24"/>
                <w:szCs w:val="24"/>
              </w:rPr>
              <w:t>1.4</w:t>
            </w:r>
            <w:r w:rsidR="00C03118" w:rsidRPr="00C03118">
              <w:rPr>
                <w:rFonts w:eastAsiaTheme="minorEastAsia"/>
                <w:noProof/>
                <w:sz w:val="24"/>
                <w:szCs w:val="24"/>
                <w:lang w:eastAsia="es-CO"/>
              </w:rPr>
              <w:tab/>
            </w:r>
            <w:r w:rsidR="00C03118" w:rsidRPr="00C03118">
              <w:rPr>
                <w:rStyle w:val="Hipervnculo"/>
                <w:noProof/>
                <w:sz w:val="24"/>
                <w:szCs w:val="24"/>
              </w:rPr>
              <w:t>Factor territorial</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_Toc76155630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27</w:t>
            </w:r>
            <w:r w:rsidR="00C03118" w:rsidRPr="00C03118">
              <w:rPr>
                <w:noProof/>
                <w:webHidden/>
                <w:sz w:val="24"/>
                <w:szCs w:val="24"/>
              </w:rPr>
              <w:fldChar w:fldCharType="end"/>
            </w:r>
          </w:hyperlink>
        </w:p>
        <w:p w:rsidR="00C03118" w:rsidRPr="00C03118" w:rsidRDefault="006E6AAC" w:rsidP="00C03118">
          <w:pPr>
            <w:pStyle w:val="TDC2"/>
            <w:tabs>
              <w:tab w:val="left" w:pos="880"/>
              <w:tab w:val="right" w:leader="dot" w:pos="8828"/>
            </w:tabs>
            <w:spacing w:line="480" w:lineRule="auto"/>
            <w:rPr>
              <w:rFonts w:eastAsiaTheme="minorEastAsia"/>
              <w:noProof/>
              <w:sz w:val="24"/>
              <w:szCs w:val="24"/>
              <w:lang w:eastAsia="es-CO"/>
            </w:rPr>
          </w:pPr>
          <w:hyperlink w:anchor="_Toc76155631" w:history="1">
            <w:r w:rsidR="00C03118" w:rsidRPr="00C03118">
              <w:rPr>
                <w:rStyle w:val="Hipervnculo"/>
                <w:noProof/>
                <w:sz w:val="24"/>
                <w:szCs w:val="24"/>
              </w:rPr>
              <w:t>1.5</w:t>
            </w:r>
            <w:r w:rsidR="00C03118" w:rsidRPr="00C03118">
              <w:rPr>
                <w:rFonts w:eastAsiaTheme="minorEastAsia"/>
                <w:noProof/>
                <w:sz w:val="24"/>
                <w:szCs w:val="24"/>
                <w:lang w:eastAsia="es-CO"/>
              </w:rPr>
              <w:tab/>
            </w:r>
            <w:r w:rsidR="00C03118" w:rsidRPr="00C03118">
              <w:rPr>
                <w:rStyle w:val="Hipervnculo"/>
                <w:noProof/>
                <w:sz w:val="24"/>
                <w:szCs w:val="24"/>
              </w:rPr>
              <w:t>Fuero de atracción</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_Toc76155631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39</w:t>
            </w:r>
            <w:r w:rsidR="00C03118" w:rsidRPr="00C03118">
              <w:rPr>
                <w:noProof/>
                <w:webHidden/>
                <w:sz w:val="24"/>
                <w:szCs w:val="24"/>
              </w:rPr>
              <w:fldChar w:fldCharType="end"/>
            </w:r>
          </w:hyperlink>
        </w:p>
        <w:p w:rsidR="00C03118" w:rsidRPr="00C03118" w:rsidRDefault="006E6AAC" w:rsidP="00C03118">
          <w:pPr>
            <w:pStyle w:val="TDC1"/>
            <w:tabs>
              <w:tab w:val="left" w:pos="660"/>
              <w:tab w:val="right" w:leader="dot" w:pos="8828"/>
            </w:tabs>
            <w:spacing w:line="480" w:lineRule="auto"/>
            <w:rPr>
              <w:rFonts w:eastAsiaTheme="minorEastAsia"/>
              <w:noProof/>
              <w:sz w:val="24"/>
              <w:szCs w:val="24"/>
              <w:lang w:eastAsia="es-CO"/>
            </w:rPr>
          </w:pPr>
          <w:hyperlink w:anchor="_Toc76155632" w:history="1">
            <w:r w:rsidR="00C03118" w:rsidRPr="00C03118">
              <w:rPr>
                <w:rStyle w:val="Hipervnculo"/>
                <w:noProof/>
                <w:sz w:val="24"/>
                <w:szCs w:val="24"/>
              </w:rPr>
              <w:t>2.</w:t>
            </w:r>
            <w:r w:rsidR="00C03118" w:rsidRPr="00C03118">
              <w:rPr>
                <w:rFonts w:eastAsiaTheme="minorEastAsia"/>
                <w:noProof/>
                <w:sz w:val="24"/>
                <w:szCs w:val="24"/>
                <w:lang w:eastAsia="es-CO"/>
              </w:rPr>
              <w:tab/>
            </w:r>
            <w:r w:rsidR="00C03118" w:rsidRPr="00C03118">
              <w:rPr>
                <w:rStyle w:val="Hipervnculo"/>
                <w:noProof/>
                <w:sz w:val="24"/>
                <w:szCs w:val="24"/>
              </w:rPr>
              <w:t>Alteración de la competencia</w:t>
            </w:r>
            <w:r w:rsidR="00C03118" w:rsidRPr="00C03118">
              <w:rPr>
                <w:noProof/>
                <w:webHidden/>
                <w:sz w:val="24"/>
                <w:szCs w:val="24"/>
              </w:rPr>
              <w:tab/>
            </w:r>
            <w:r w:rsidR="00C03118" w:rsidRPr="00C03118">
              <w:rPr>
                <w:noProof/>
                <w:webHidden/>
                <w:sz w:val="24"/>
                <w:szCs w:val="24"/>
              </w:rPr>
              <w:fldChar w:fldCharType="begin"/>
            </w:r>
            <w:r w:rsidR="00C03118" w:rsidRPr="00C03118">
              <w:rPr>
                <w:noProof/>
                <w:webHidden/>
                <w:sz w:val="24"/>
                <w:szCs w:val="24"/>
              </w:rPr>
              <w:instrText xml:space="preserve"> PAGEREF _Toc76155632 \h </w:instrText>
            </w:r>
            <w:r w:rsidR="00C03118" w:rsidRPr="00C03118">
              <w:rPr>
                <w:noProof/>
                <w:webHidden/>
                <w:sz w:val="24"/>
                <w:szCs w:val="24"/>
              </w:rPr>
            </w:r>
            <w:r w:rsidR="00C03118" w:rsidRPr="00C03118">
              <w:rPr>
                <w:noProof/>
                <w:webHidden/>
                <w:sz w:val="24"/>
                <w:szCs w:val="24"/>
              </w:rPr>
              <w:fldChar w:fldCharType="separate"/>
            </w:r>
            <w:r w:rsidR="00C03118" w:rsidRPr="00C03118">
              <w:rPr>
                <w:noProof/>
                <w:webHidden/>
                <w:sz w:val="24"/>
                <w:szCs w:val="24"/>
              </w:rPr>
              <w:t>46</w:t>
            </w:r>
            <w:r w:rsidR="00C03118" w:rsidRPr="00C03118">
              <w:rPr>
                <w:noProof/>
                <w:webHidden/>
                <w:sz w:val="24"/>
                <w:szCs w:val="24"/>
              </w:rPr>
              <w:fldChar w:fldCharType="end"/>
            </w:r>
          </w:hyperlink>
        </w:p>
        <w:p w:rsidR="003D446E" w:rsidRPr="00C03118" w:rsidRDefault="003D446E" w:rsidP="00C03118">
          <w:pPr>
            <w:pStyle w:val="TDC2"/>
            <w:tabs>
              <w:tab w:val="right" w:leader="dot" w:pos="8828"/>
            </w:tabs>
            <w:spacing w:line="480" w:lineRule="auto"/>
            <w:rPr>
              <w:b/>
              <w:bCs/>
              <w:sz w:val="24"/>
              <w:lang w:val="es-ES"/>
            </w:rPr>
          </w:pPr>
          <w:r w:rsidRPr="00C03118">
            <w:rPr>
              <w:b/>
              <w:bCs/>
              <w:sz w:val="24"/>
              <w:szCs w:val="24"/>
              <w:lang w:val="es-ES"/>
            </w:rPr>
            <w:fldChar w:fldCharType="end"/>
          </w:r>
        </w:p>
      </w:sdtContent>
    </w:sdt>
    <w:p w:rsidR="003D446E" w:rsidRPr="00C03118" w:rsidRDefault="003D446E" w:rsidP="00C03118">
      <w:pPr>
        <w:pStyle w:val="TDC2"/>
        <w:tabs>
          <w:tab w:val="right" w:leader="dot" w:pos="8828"/>
        </w:tabs>
        <w:spacing w:line="480" w:lineRule="auto"/>
        <w:rPr>
          <w:sz w:val="24"/>
        </w:rPr>
      </w:pPr>
      <w:r w:rsidRPr="00C03118">
        <w:rPr>
          <w:sz w:val="24"/>
        </w:rPr>
        <w:br w:type="page"/>
      </w:r>
    </w:p>
    <w:p w:rsidR="00D64741" w:rsidRPr="00C03118" w:rsidRDefault="00D64741" w:rsidP="00C03118">
      <w:pPr>
        <w:pStyle w:val="Ttulo1"/>
        <w:spacing w:line="480" w:lineRule="auto"/>
        <w:rPr>
          <w:sz w:val="36"/>
        </w:rPr>
      </w:pPr>
      <w:bookmarkStart w:id="1" w:name="_Toc76155625"/>
      <w:r w:rsidRPr="00C03118">
        <w:rPr>
          <w:sz w:val="36"/>
        </w:rPr>
        <w:lastRenderedPageBreak/>
        <w:t>Introducción</w:t>
      </w:r>
      <w:bookmarkEnd w:id="1"/>
    </w:p>
    <w:p w:rsidR="00D64741" w:rsidRPr="00C03118" w:rsidRDefault="00D64741" w:rsidP="00C03118">
      <w:pPr>
        <w:spacing w:line="480" w:lineRule="auto"/>
        <w:rPr>
          <w:sz w:val="24"/>
        </w:rPr>
      </w:pPr>
      <w:r w:rsidRPr="00C03118">
        <w:rPr>
          <w:sz w:val="24"/>
        </w:rPr>
        <w:t xml:space="preserve">Es bien conocido  por todos  que para determinar la competencia  se torna indispensable  la conjugación y aplicación al caso concreto  de los diferentes factores establecidos en la ley, de tal suerte que la atribución  para conocer y resolver un determinado asunto es el fruto, entonces, del análisis, estudio y verificación, de cara a las particularidades  de dicho asunto, de los diferentes criterios que al efecto nos ofrece nuestro estatuto  procesal. Sobra decir, que previamente  a darle aplicación  a esos criterios  o factores  de atribución  o determinación de competencias,  se hace necesario recordar  que, por regla general, de acuerdo con lo señalado por el artículo 15 CGP, a la llamada jurisdicción ordinaria le corresponde  el conocimiento  de aquellos asuntos que expresamente  no le haya asignado nuestro ordenamiento a otra jurisdicción; al interior  de la ordinaria,  le corresponde  a la especialidad o rama civil, el conocimiento  de los asuntos  que  no  estén  asignados  a otra  especialidad jurisdiccional, es decir, que no le hayan sido de manera concreta señalados al conocimiento  de los jueces laborales, de familia, penales, etc.; y, finalmente, ya ubicados al interior  de la rama civil, serán los jueces del circuito los que conocerán  de los litigios que no hayan sido determinados por la ley como de competencia  de otros jueces civiles. Esto es lo que denomina  la norma en mención  como  la “cláusula general o residual  de competencia”,  con lo cual, según se </w:t>
      </w:r>
      <w:r w:rsidRPr="00C03118">
        <w:rPr>
          <w:sz w:val="24"/>
        </w:rPr>
        <w:lastRenderedPageBreak/>
        <w:t>puede advertir de la lectura de la norma, se quiere significar que si una controversia  no le fue expresamente  asignada, por ejemplo, a la Jurisdicción de lo Contencioso  Administrativo,  la conocerá  la ordinaria; si al interior  de la ordinaria, no le aparece asignada a un determinado juez, le corresponderá tramitarla  y decidirla al juez civil, y si no fue atribuida  a un juez civil específico, será el de circuito  el que contará  con la competencia para ello.</w:t>
      </w:r>
    </w:p>
    <w:p w:rsidR="00D64741" w:rsidRPr="00C03118" w:rsidRDefault="00D64741" w:rsidP="00C03118">
      <w:pPr>
        <w:spacing w:line="480" w:lineRule="auto"/>
        <w:rPr>
          <w:sz w:val="24"/>
        </w:rPr>
      </w:pPr>
      <w:r w:rsidRPr="00C03118">
        <w:rPr>
          <w:sz w:val="24"/>
        </w:rPr>
        <w:t>Desde esta perspectiva, en esta ponencia  analizaremos  cada uno de los criterios o factores determinantes para la atribución  de competencia  de los jueces civiles en la ley 1564 de 2012, aclarando que algunas de dichas disposiciones ya se encuentran vigentes, las cuales expresamente  serán indicadas en esta ponencia, aunque la gran mayoría de normas de competencia  de los jueces civiles entrarán  en vigor en forma paulatina o gradual a partir del 1º de enero de 2014, según la previsión contenida en el numeral 6º del artículo 627 CGP, en aquellos lugares en que el Consejo Superior  de la Judicatura así lo determine,  contándose,  en todo  caso, como plazo máximo, el 1º de enero de 2017, fecha en la cual el nuevo estatuto  debe entrar  en vigencia en todo el territorio  nacional. En consecuencia, salvo las específicas normas que ya están vigentes, el grueso de las disposiciones en materia de competencia de los jueces civiles, al momento  de escribirse esta ponencia,  aún no han entrado a regir.</w:t>
      </w:r>
    </w:p>
    <w:p w:rsidR="00D64741" w:rsidRPr="00C03118" w:rsidRDefault="00D64741" w:rsidP="00C03118">
      <w:pPr>
        <w:spacing w:line="480" w:lineRule="auto"/>
        <w:rPr>
          <w:sz w:val="24"/>
        </w:rPr>
      </w:pPr>
      <w:r w:rsidRPr="00C03118">
        <w:rPr>
          <w:sz w:val="24"/>
        </w:rPr>
        <w:lastRenderedPageBreak/>
        <w:t xml:space="preserve">Una vez ello ocurra, deberá darse aplicación a lo previsto por el artículo 40 de la ley 153 de 1887, modificado por el artículo 622 CGP, disposición que regula de manera general la aplicación de la ley procesal en el tiempo y, en tratándose de normas en materia de competencia, establece en su inciso final que “la competencia para tramitar el proceso se regirá por la legislación vigente en el momento  de formulación de la demanda con la que se promueva, salvo que la ley elimine dicha autoridad”; en el mismo sentido pero específicamente referido al nuevo estatuto  procesal, el numeral 8º del artículo 625 establece que “Las reglas sobre competencia  previstas en este Código, no alteran  la competencia de los jueces para conocer de los asuntos respecto de los cuales ya se hubiere presentado  la demanda. Por tanto, el régimen de cuantías no cambia la competencia que ya se hubiere fijado por ese factor”. Esto significa que las normas sobre competencia  de jueces civiles y de familia establecidas en el nuevo Código General del Proceso, una vez entren en vigencia, no van a generar alteración de la competencia  asignada con anterioridad,  disposición que apunta a la aplicación ultractiva de los anteriores  preceptos  contenidos en el Código de Procedimiento Civil y disposiciones complementarias, todo con el fin de evitar </w:t>
      </w:r>
      <w:r w:rsidR="003D446E" w:rsidRPr="00C03118">
        <w:rPr>
          <w:sz w:val="24"/>
        </w:rPr>
        <w:t>desórdenes</w:t>
      </w:r>
      <w:r w:rsidRPr="00C03118">
        <w:rPr>
          <w:sz w:val="24"/>
        </w:rPr>
        <w:t xml:space="preserve">  en un tema tan trascendental como lo es la competencia, evitando el trasteo de expedientes que se produciría si aquellas nuevas disposiciones se aplicarán inmediatamente a todos </w:t>
      </w:r>
      <w:r w:rsidRPr="00C03118">
        <w:rPr>
          <w:sz w:val="24"/>
        </w:rPr>
        <w:lastRenderedPageBreak/>
        <w:t>los procesos en curso y los consecuentes  tropiezos que ello podría generar en el trámite  de aquellos.</w:t>
      </w:r>
    </w:p>
    <w:p w:rsidR="00D64741" w:rsidRPr="00C03118" w:rsidRDefault="00D64741" w:rsidP="00C03118">
      <w:pPr>
        <w:spacing w:line="480" w:lineRule="auto"/>
        <w:rPr>
          <w:sz w:val="24"/>
        </w:rPr>
      </w:pPr>
      <w:r w:rsidRPr="00C03118">
        <w:rPr>
          <w:sz w:val="24"/>
        </w:rPr>
        <w:t xml:space="preserve">La única  norma  en  materia  de  competencia  que  es de  aplicación  inmediata  a todos los procesos en curso es aquellas referida a los juicios de responsabilidad  médica que venían tramitando los jueces laborales, los que en virtud de lo previsto por el artículo 622 CGP les corresponde  tramitarlos a los jueces civiles1 o de lo contencioso administrativo, según sea el caso. Esta norma entró en vigencia el pasado 12 de julio de 2012 por expresa orden del numeral 1º del artículo 627 Ibídem y modificó el numeral 4º del artículo 2º CPTSS, para señalar que los jueces laborales conocen de “Las controversias relativas a la prestación de los servicios de la seguridad social que se susciten entre los afiliados, beneficiarios o usuarios, los empleadores  y las entidades administradoras o prestadoras,  salvo los de responsabilidad  médica  y los relacionados con contratos.” En virtud de esta modificación, los jueces laborales ya no conocerán  de procesos de responsabilidad  médica originados en la prestación de los servicios del sistema de seguridad social, como tampoco de los litigios contractuales,  los cuales les corresponderá a los jueces civiles y a los jueces administrativos, según sea el caso, norma que, de acuerdo con lo señalado en el inciso segundo del numeral 8º del artículo 625 CGP, se aplicó en forma inmediata a todos los procesos en curso, toda vez que </w:t>
      </w:r>
      <w:r w:rsidRPr="00C03118">
        <w:rPr>
          <w:sz w:val="24"/>
        </w:rPr>
        <w:lastRenderedPageBreak/>
        <w:t>dicha norma establece que “los procesos de responsabilidad  médica que actualmente  tramitan los jueces laborales, serán remitidos a los jueces civiles competentes, en el estado en que se encuentren.”</w:t>
      </w:r>
    </w:p>
    <w:p w:rsidR="003D446E" w:rsidRPr="00C03118" w:rsidRDefault="00D64741" w:rsidP="00C03118">
      <w:pPr>
        <w:spacing w:line="480" w:lineRule="auto"/>
        <w:rPr>
          <w:sz w:val="24"/>
        </w:rPr>
      </w:pPr>
      <w:r w:rsidRPr="00C03118">
        <w:rPr>
          <w:sz w:val="24"/>
        </w:rPr>
        <w:t xml:space="preserve">Así las cosas, las normas relacionadas con competencia  que trae nuestro nuevo estatuto, por regla general, se aplicarán solamente a los procesos que se promuevan  con posterioridad  a su entrada en vigencia. Hecha la anterior aclaración,  necesaria  en cuanto  a las reglas de aplicación  en el tiempo  de tales preceptos legales, pasamos a estudiar brevemente los factores en virtud de los cuales se asigna competencia  a los jueces civiles, con la aclaración adicional que en esta ponencia, a diferencia de lo que ha venido ocurriendo con los autorizados expositores en la materia, no se hará un paralelo entre la legislación anterior  y la nueva regulación, como tampoco se hará referencia exclusiva a los principales  cambios, sino que, en lo pertinente,  se abordará el tema explicándolo de manera general a efectos de que los estudiantes  de derecho, principales destinatarios  de todos los trabajos escritos compilados en esta publicación  y protagonistas  esenciales de los congresos de nuestro Instituto, cuenten con un panorama, sino suficiente por lo menos ilustrativo, que les permita avizorar cuáles serán las normas que en esta materia tendrán que aplicar cuando  deban  empezar  a ejercer la profesión, fecha en la cual seguramente  el Código General del Proceso ya estará vigente. Así </w:t>
      </w:r>
      <w:r w:rsidRPr="00C03118">
        <w:rPr>
          <w:sz w:val="24"/>
        </w:rPr>
        <w:lastRenderedPageBreak/>
        <w:t xml:space="preserve">mismo, debe precisarse que, haciendo eco del </w:t>
      </w:r>
      <w:r w:rsidR="003D446E" w:rsidRPr="00C03118">
        <w:rPr>
          <w:sz w:val="24"/>
        </w:rPr>
        <w:t>título</w:t>
      </w:r>
      <w:r w:rsidRPr="00C03118">
        <w:rPr>
          <w:sz w:val="24"/>
        </w:rPr>
        <w:t>, en esta ponencia no se abordará la competencia  de los jueces de familia, toda vez que dicho tema ya ha sido tratado en otros t</w:t>
      </w:r>
      <w:r w:rsidR="003D446E" w:rsidRPr="00C03118">
        <w:rPr>
          <w:sz w:val="24"/>
        </w:rPr>
        <w:t>rabajos escritos.</w:t>
      </w:r>
    </w:p>
    <w:p w:rsidR="00C03118" w:rsidRPr="00C03118" w:rsidRDefault="00C03118" w:rsidP="00C03118">
      <w:pPr>
        <w:spacing w:line="480" w:lineRule="auto"/>
        <w:jc w:val="left"/>
        <w:rPr>
          <w:rFonts w:eastAsiaTheme="majorEastAsia" w:cstheme="majorBidi"/>
          <w:b/>
          <w:bCs/>
          <w:sz w:val="36"/>
          <w:szCs w:val="28"/>
        </w:rPr>
      </w:pPr>
      <w:r w:rsidRPr="00C03118">
        <w:rPr>
          <w:sz w:val="36"/>
        </w:rPr>
        <w:br w:type="page"/>
      </w:r>
    </w:p>
    <w:p w:rsidR="00D64741" w:rsidRPr="00C03118" w:rsidRDefault="00D64741" w:rsidP="00C03118">
      <w:pPr>
        <w:pStyle w:val="Ttulo1"/>
        <w:numPr>
          <w:ilvl w:val="0"/>
          <w:numId w:val="2"/>
        </w:numPr>
        <w:spacing w:line="480" w:lineRule="auto"/>
        <w:rPr>
          <w:sz w:val="36"/>
        </w:rPr>
      </w:pPr>
      <w:bookmarkStart w:id="2" w:name="_Toc76155626"/>
      <w:r w:rsidRPr="00C03118">
        <w:rPr>
          <w:sz w:val="36"/>
        </w:rPr>
        <w:lastRenderedPageBreak/>
        <w:t>Los factores determinantes de la competencia</w:t>
      </w:r>
      <w:bookmarkEnd w:id="2"/>
    </w:p>
    <w:p w:rsidR="00D64741" w:rsidRPr="00C03118" w:rsidRDefault="00D64741" w:rsidP="00C03118">
      <w:pPr>
        <w:spacing w:line="480" w:lineRule="auto"/>
        <w:rPr>
          <w:sz w:val="24"/>
        </w:rPr>
      </w:pPr>
      <w:r w:rsidRPr="00C03118">
        <w:rPr>
          <w:sz w:val="24"/>
        </w:rPr>
        <w:t>Ha sido tema  pacífico en nuestro  Derecho  Procesal Civil que los factores determinantes de la competencia son cinco, a saber: objetivo, subjetivo, funcional, territorial  y de conexión o atracción. El Código General del Proceso, al igual que lo hizo el Código de Procedimiento Civil, los reguló, tal y como pasa a explicarse.</w:t>
      </w:r>
    </w:p>
    <w:p w:rsidR="00D64741" w:rsidRPr="00C03118" w:rsidRDefault="00D64741" w:rsidP="00C03118">
      <w:pPr>
        <w:pStyle w:val="Ttulo2"/>
      </w:pPr>
      <w:bookmarkStart w:id="3" w:name="_Toc76155627"/>
      <w:r w:rsidRPr="00C03118">
        <w:t>Factor objetivo: naturaleza del asunto y cuantía</w:t>
      </w:r>
      <w:bookmarkEnd w:id="3"/>
    </w:p>
    <w:p w:rsidR="00C03118" w:rsidRPr="00C03118" w:rsidRDefault="00C03118" w:rsidP="00C03118">
      <w:pPr>
        <w:spacing w:line="480" w:lineRule="auto"/>
      </w:pPr>
    </w:p>
    <w:p w:rsidR="00D64741" w:rsidRPr="00C03118" w:rsidRDefault="00D64741" w:rsidP="00C03118">
      <w:pPr>
        <w:spacing w:line="480" w:lineRule="auto"/>
        <w:rPr>
          <w:sz w:val="24"/>
        </w:rPr>
      </w:pPr>
      <w:r w:rsidRPr="00C03118">
        <w:rPr>
          <w:sz w:val="24"/>
        </w:rPr>
        <w:t xml:space="preserve">Este factor atiende, en primer  lugar, a la naturaleza  del asunto, es decir, al contenido  de la pretensión,  razón por la cual se le conoce también como la competencia por razón de la materia, pues atendiendo exclusivamente al tipo de controversia que se ventila se le atribuye la competencia a un determinado juez sin tener en cuenta ningún otro tipo de consideración, citándose como ejemplos más representativos el proceso  relativo a derechos  de propiedad intelectual, el de competencia desleal y el de expropiación, cuyo conocimiento, en razón de su objeto, le fue asignado a los jueces civiles del circuito, tal y como aparece en los numerales 2, 3 y 5 del artículo 20 CGP. En estos casos, una vez verificado el objeto de la </w:t>
      </w:r>
      <w:r w:rsidR="00CE7A11" w:rsidRPr="00C03118">
        <w:rPr>
          <w:sz w:val="24"/>
        </w:rPr>
        <w:t>pretensión, la</w:t>
      </w:r>
      <w:r w:rsidR="00CE7A11">
        <w:rPr>
          <w:sz w:val="24"/>
        </w:rPr>
        <w:t xml:space="preserve"> competencia, </w:t>
      </w:r>
      <w:r w:rsidRPr="00C03118">
        <w:rPr>
          <w:sz w:val="24"/>
        </w:rPr>
        <w:t>sin tener  en cuenta otros criterios, se le asigna a los jueces del circui</w:t>
      </w:r>
      <w:bookmarkStart w:id="4" w:name="_GoBack"/>
      <w:bookmarkEnd w:id="4"/>
      <w:r w:rsidRPr="00C03118">
        <w:rPr>
          <w:sz w:val="24"/>
        </w:rPr>
        <w:t>to.</w:t>
      </w:r>
    </w:p>
    <w:p w:rsidR="00D64741" w:rsidRPr="00C03118" w:rsidRDefault="00D64741" w:rsidP="00C03118">
      <w:pPr>
        <w:spacing w:line="480" w:lineRule="auto"/>
        <w:rPr>
          <w:sz w:val="24"/>
        </w:rPr>
      </w:pPr>
      <w:r w:rsidRPr="00C03118">
        <w:rPr>
          <w:sz w:val="24"/>
        </w:rPr>
        <w:lastRenderedPageBreak/>
        <w:t>A decir verdad, a la hora de fijar competencia, es la segunda faceta del factor objetivo la que mayores connotaciones  tiene y corresponde  a la cuantía. Dispone el artículo 25 CGP, norma que entró en vigencia desde el pasado 1º de octubre  de 2012 por así señalarlo el numeral  4º del artículo 627 Ibídem, que los procesos civiles se dividen, dependiendo su importancia  económica, en procesos de mayor, de menor  y de mínima cuantía. Serán de mayor cuantía los que versen sobre pretensiones  patrimoniales  que no excedan del equivalente  a cuarenta  salarios mínimos  legales mensuales  vigentes; si las pretensiones  patrimoniales  exceden de cuarenta  pero no exceden del equivalente a 150 salarios mínimos  legales mensuales  vigentes, será de menor cuantía; y, finalmente, serán procesos de mayor cuantía aquellos que versen sobre pretensiones  patrimoniales  superiores  o que excedan  a 150 salarios mínimos legales mensuales vigentes.</w:t>
      </w:r>
    </w:p>
    <w:p w:rsidR="00D64741" w:rsidRPr="00C03118" w:rsidRDefault="00D64741" w:rsidP="00C03118">
      <w:pPr>
        <w:spacing w:line="480" w:lineRule="auto"/>
        <w:rPr>
          <w:sz w:val="24"/>
        </w:rPr>
      </w:pPr>
      <w:r w:rsidRPr="00C03118">
        <w:rPr>
          <w:sz w:val="24"/>
        </w:rPr>
        <w:t>Desde luego que el salario que se tiene en cuenta será el vigente para el momento  de presentación  de la demanda, no de su admisión, por lo que si entre  la fecha de la presentación  del libelo y el momento  en que el juez se pronuncia  sobre su admisibilidad se produce  un cambio en el salario y, por ende, una alteración  en la cuantía, se tendrá  en cuenta  el salario que regía para la primera fecha.</w:t>
      </w:r>
    </w:p>
    <w:p w:rsidR="00D64741" w:rsidRPr="00C03118" w:rsidRDefault="00D64741" w:rsidP="00C03118">
      <w:pPr>
        <w:spacing w:line="480" w:lineRule="auto"/>
        <w:rPr>
          <w:sz w:val="24"/>
        </w:rPr>
      </w:pPr>
      <w:r w:rsidRPr="00C03118">
        <w:rPr>
          <w:sz w:val="24"/>
        </w:rPr>
        <w:t xml:space="preserve">Mención especial debe realizarse al inciso final de la norma en comento, la cual señala que “Cuando se reclame la indemnización de daños </w:t>
      </w:r>
      <w:r w:rsidR="003D446E" w:rsidRPr="00C03118">
        <w:rPr>
          <w:sz w:val="24"/>
        </w:rPr>
        <w:t xml:space="preserve">extra </w:t>
      </w:r>
      <w:r w:rsidR="003D446E" w:rsidRPr="00C03118">
        <w:rPr>
          <w:sz w:val="24"/>
        </w:rPr>
        <w:lastRenderedPageBreak/>
        <w:t>patrimoniales</w:t>
      </w:r>
      <w:r w:rsidRPr="00C03118">
        <w:rPr>
          <w:sz w:val="24"/>
        </w:rPr>
        <w:t xml:space="preserve"> se tendrán  en cuenta, solo para efectos de determinar la competencia por razón de la cuantía, los parámetros jurisprudenciales  máximos al momento de la presentación  de la demanda”. Esta norma lo que indica es que si en la demanda se pretende  el reconocimiento y pago de daños de naturaleza </w:t>
      </w:r>
      <w:r w:rsidR="003D446E" w:rsidRPr="00C03118">
        <w:rPr>
          <w:sz w:val="24"/>
        </w:rPr>
        <w:t>extra patrimonial</w:t>
      </w:r>
      <w:r w:rsidRPr="00C03118">
        <w:rPr>
          <w:sz w:val="24"/>
        </w:rPr>
        <w:t xml:space="preserve">, específicamente el perjuicio moral o el perjuicio a una vida de relación, el demandante,  a la hora de calcular la cuantía y únicamente  con ese propósito, tenga en cuenta los criterios fijados por la jurisprudencia, todo con el propósito  de evitar que en el libelo se señalen cifras extravagantes, muy por encima de los citados parámetros,  que traigan como consecuencia que el demandante pueda calcular a su arbitrio la cuantía de sus pretensiones y de esta manera asignar antojadizamente la competencia  del proceso. Ello implica que a la hora de calcular la cuantía en lo tocante  con las sumas pedidas como indemnización  del daño </w:t>
      </w:r>
      <w:r w:rsidR="003D446E" w:rsidRPr="00C03118">
        <w:rPr>
          <w:sz w:val="24"/>
        </w:rPr>
        <w:t>extra patrimonial</w:t>
      </w:r>
      <w:r w:rsidRPr="00C03118">
        <w:rPr>
          <w:sz w:val="24"/>
        </w:rPr>
        <w:t>, aquella no dependerá solamente  de la suma que pida el demandante como compensación  por el perjuicio sufrido, sino que tendrá que ajustarse a los parámetros o criterios que en el punto ha determinado la jurisprudencia  de la Sala Civil de la Corte.</w:t>
      </w:r>
    </w:p>
    <w:p w:rsidR="00D64741" w:rsidRPr="00C03118" w:rsidRDefault="00D64741" w:rsidP="00C03118">
      <w:pPr>
        <w:spacing w:line="480" w:lineRule="auto"/>
        <w:rPr>
          <w:sz w:val="24"/>
        </w:rPr>
      </w:pPr>
      <w:r w:rsidRPr="00C03118">
        <w:rPr>
          <w:sz w:val="24"/>
        </w:rPr>
        <w:t xml:space="preserve">Debe  precisarse  que  la norma  en  ningún  momento   constituye  un  límite  infranqueable  para  las pretensiones   indemnizatorias por  perjuicios extrapatrimoniales, ni señala que aquellas no pueden superar los parámetros jurisprudenciales; por el contrario,  la norma  reconoce  </w:t>
      </w:r>
      <w:r w:rsidRPr="00C03118">
        <w:rPr>
          <w:sz w:val="24"/>
        </w:rPr>
        <w:lastRenderedPageBreak/>
        <w:t>que cuando se trata del reclamo de esta modalidad  de perjuicios cada demandante formula las súplicas en la cuantía que estima es la suficiente para compensar,  reparar o mitigar el daño, sin necesidad de formular  juramento  estimatorio  (art. 206 CGP), pero será el juez, de acuerdo con las condiciones particulares del caso, los medios de prueba incorporados  al proceso y basado en criterios de equidad (art. 283 inciso final), quien determinará el quantum  indemnizatorio por concepto de perjuicio moral o perjuicio a una vida de relación. Es por ello que la norma le indica al litigante que es necesario tener en cuenta los parámetros fijados por la jurisprudencia  de casación solamente para efectos de calcular la cuantía,  pues el monto  solicitado  será el que considere  el demandante satisface su aspiración  indemnizatoria y el que finalmente  ordene  el juez en su sentencias se prueban  todos los presupuestos  de la responsabilidad deprecadaserá el producto  de la aplicación de la equidad.</w:t>
      </w:r>
    </w:p>
    <w:p w:rsidR="00D64741" w:rsidRPr="00C03118" w:rsidRDefault="00D64741" w:rsidP="00C03118">
      <w:pPr>
        <w:spacing w:line="480" w:lineRule="auto"/>
        <w:rPr>
          <w:sz w:val="24"/>
        </w:rPr>
      </w:pPr>
      <w:r w:rsidRPr="00C03118">
        <w:rPr>
          <w:sz w:val="24"/>
        </w:rPr>
        <w:t xml:space="preserve">Un ejemplo puede aclarar la aplicación de la norma. Por el perjuicio moral padecido por la propia víctima en razón de la merma considerable de sus capacidades físicas como consecuencia del hecho generador del daño, la Sala de Casación Civil ha reconocido  la suma de $40.000.000,oo.4 Supongamos que en un proceso el demandante pide el pago de $100.000.000,oo, por indemnización a su favor por el perjuicio moral generado por su incapacidad derivada de lesiones f </w:t>
      </w:r>
      <w:r w:rsidRPr="00C03118">
        <w:rPr>
          <w:sz w:val="24"/>
        </w:rPr>
        <w:lastRenderedPageBreak/>
        <w:t>ísicas, siendo ésta su única pretensión,  caso en el cual, de no existir la norma en comento, el proceso sería de mayor cuantía. Atendiendo los parámetros jurisprudenciales  que han reconocido por este concepto una suma  de $40.000.000,oo, el demandante,  en nuestro  ejemplo,  tendrá  que calcular su cuantía en la citada suma, aunque su pretensión  indemnizatoria seguirá siendo $100.000.000,oo, caso en el cual el proceso  sería de menor cuantía.  Con esta norma  se logra, entonces,  que la cuantía  obedezca realmente a una suma que no dependa de las aspiraciones del demandante en un asunto en el que la jurisprudencia  cuenta con parámetros que pueden servir de guía a la hora de establecer el quantum  de la indemnización, pues como lo ha señalado la Corte, estas sumas son fijadas periódicamente “consultando la función de monofilaquia, hermenéutica y unificadora del ordenamiento que caracteriza a la jurisprudencia”, lo cual se hace “no a título de imposición sino de referentes”.</w:t>
      </w:r>
    </w:p>
    <w:p w:rsidR="00D64741" w:rsidRPr="00C03118" w:rsidRDefault="00D64741" w:rsidP="00C03118">
      <w:pPr>
        <w:spacing w:line="480" w:lineRule="auto"/>
        <w:rPr>
          <w:sz w:val="24"/>
        </w:rPr>
      </w:pPr>
      <w:r w:rsidRPr="00C03118">
        <w:rPr>
          <w:sz w:val="24"/>
        </w:rPr>
        <w:t>Finalmente,  el parágrafo de la disposición señala que las cuantías  no es tema reservado a la ley, habida cuenta que el parágrafo del artículo 25 faculta a la Sala Administrativa del Consejo Superior de la Judicatura para modificar las cuantías cuando las circunstancias  así lo recomienden,  claro está, previo concepto favorable del gobierno nacional.</w:t>
      </w:r>
    </w:p>
    <w:p w:rsidR="00D64741" w:rsidRPr="00C03118" w:rsidRDefault="00D64741" w:rsidP="00C03118">
      <w:pPr>
        <w:spacing w:line="480" w:lineRule="auto"/>
        <w:rPr>
          <w:sz w:val="24"/>
        </w:rPr>
      </w:pPr>
      <w:r w:rsidRPr="00C03118">
        <w:rPr>
          <w:sz w:val="24"/>
        </w:rPr>
        <w:lastRenderedPageBreak/>
        <w:t>Y aprovechando  que el tema de la cuantía se está tratando,  vale la pena mencionar que en materia del recurso extraordinario de casación, el artículo 338 CGP determinó  que el interés económico para recurrir en casación, esto es, el valor de la resolución desfavorable al recurrente, deberá ser equivalente a mil salarios mínimos legales mensuales vigentes (1000 SMLMV), límite que no tendrá  aplicación cuando  se trate  de recursos  de casación interpuestos contra sentencias dictadas en procesos de acciones de grupo y las proferidas en procesos relacionados con el estado civil. Esta norma, aún no ha entrado en vigencia y cuando ello ocurra, solamente se le aplicará a los recursos de casación interpuestos con posterioridad  al momento  en que entre a regir la disposición, según las reglas generales de vigencia de la ley procesal en el tiempo, es decir, recursos interpuestos con anterioridad  continuarán rigiéndose por el límite vigente al momento  de su interposición.</w:t>
      </w:r>
    </w:p>
    <w:p w:rsidR="00D64741" w:rsidRPr="00C03118" w:rsidRDefault="00D64741" w:rsidP="00C03118">
      <w:pPr>
        <w:spacing w:line="480" w:lineRule="auto"/>
        <w:rPr>
          <w:sz w:val="24"/>
        </w:rPr>
      </w:pPr>
      <w:r w:rsidRPr="00C03118">
        <w:rPr>
          <w:sz w:val="24"/>
        </w:rPr>
        <w:t>El artículo 26 CGP establece la forma de determinar la cuantía frente a un determinado caso, según las reglas que pasan a explicarse:</w:t>
      </w:r>
    </w:p>
    <w:p w:rsidR="00D64741" w:rsidRPr="00C03118" w:rsidRDefault="00D64741" w:rsidP="00C03118">
      <w:pPr>
        <w:spacing w:line="480" w:lineRule="auto"/>
        <w:rPr>
          <w:sz w:val="24"/>
        </w:rPr>
      </w:pPr>
      <w:r w:rsidRPr="00C03118">
        <w:rPr>
          <w:sz w:val="24"/>
        </w:rPr>
        <w:t xml:space="preserve">a. De conformidad  con lo previsto en el numeral 1º, la cuantía debe calcularse por el valor de todas las pretensiones incorporadas en la demanda, incluyendo  los frutos,  intereses,  multas  o perjuicios  que  se reclamen como  rubros  accesorios  calculados  hasta  la fecha de su presentación. Dicho de otra forma, el demandante tendrá  que sumar el </w:t>
      </w:r>
      <w:r w:rsidRPr="00C03118">
        <w:rPr>
          <w:sz w:val="24"/>
        </w:rPr>
        <w:lastRenderedPageBreak/>
        <w:t>valor de todas las pretensiones  de la demanda, incluyendo las consideradas accesorias y calcular su valor hasta el día de la presentación;  las sumas que se causan con posterioridad a la fecha de la demanda, como ocurre con los intereses, no se tienen en cuenta para efectos de determinar la cuantía, aunque seguramente serán objeto de una pretensión por el demandante. Lo anterior implica que con el objeto de calcular la cuantía cuando en la demanda se reclaman pretensiones  dinerarias, el demandante debe realizar un “corte de cuentas” y establecer su valor a la fecha de presentación de la demanda; Así por ejemplo, si el demandante reclama $75.000.000,oo por capital y además intereses de mora sobre dicha suma, tendrá que calcular los causados hasta el día de presentación  de la demanda  y sumarlos al capital; si éstos, en nuestro  ejemplo, ascienden a $20.000.000,oo, la cuantía será de $95.000.000,oo y, por ende, el proceso se clasificará como de mayor cuantía, sin que para el efecto se tengan en cuenta los intereses de mora que se causen luego de presentada  la demanda, los cuales, según se dijo, posiblemente  los reclamará  el demandante pero son indiferentes  para la determinación de la cuantía.</w:t>
      </w:r>
    </w:p>
    <w:p w:rsidR="00D64741" w:rsidRPr="00C03118" w:rsidRDefault="00D64741" w:rsidP="00C03118">
      <w:pPr>
        <w:spacing w:line="480" w:lineRule="auto"/>
        <w:rPr>
          <w:sz w:val="24"/>
        </w:rPr>
      </w:pPr>
      <w:r w:rsidRPr="00C03118">
        <w:rPr>
          <w:sz w:val="24"/>
        </w:rPr>
        <w:t xml:space="preserve">De conformidad  con lo previsto por el inciso segundo del artículo 7º de la ley 1653 de 2013, el arancel judicial que debe pagar el demandante,  en los casos no exceptuados  que contempla  la misma ley, se calcula sobre la sumatoria  de las pretensiones  de la demanda,  incluyendo  los </w:t>
      </w:r>
      <w:r w:rsidRPr="00C03118">
        <w:rPr>
          <w:sz w:val="24"/>
        </w:rPr>
        <w:lastRenderedPageBreak/>
        <w:t>rubros accesorios  causados  hasta  la  fecha  de  su  presentación.   Ello implica, entonces,  que la determinación del valor del arancel judicial (que es del 1.5%) se realiza sobre la sumatoria de todas las pretensiones, atendiendo el criterio del numeral 1º del artículo 26 del CGP, que fue el mismo tomado por la ley 1653 de 2012. En el ejemplo anterior, en que la cuantía se fijó en $95.000.000,oo, el arancel judicial que debe pagar el demandante como requisito para que su demanda sea admitida será de $1.425.000,oo.</w:t>
      </w:r>
    </w:p>
    <w:p w:rsidR="00D64741" w:rsidRPr="00C03118" w:rsidRDefault="00D64741" w:rsidP="00C03118">
      <w:pPr>
        <w:spacing w:line="480" w:lineRule="auto"/>
        <w:rPr>
          <w:sz w:val="24"/>
        </w:rPr>
      </w:pPr>
      <w:r w:rsidRPr="00C03118">
        <w:rPr>
          <w:sz w:val="24"/>
        </w:rPr>
        <w:t>b.  En los procesos de deslinde y amojonamiento, nos enseña el numeral 2º, la cuantía se determina por el avalúo catastral del inmueble que se encuentre en poder del demandante6.  Como bien se sabe, con este proceso se busca ponerle fin a los problemas  limítrofes entre  predios colindantes,  lo cual se logra cuando el juez, con apoyo en los elementos probatorios  del caso, determina  los límites y los hace visibles. El criterio  para determinar la cuantía  es, entonces,  el avalúo catastral  del inmueble  que se encuentra en poder del demandante,  no el valor comercial, toda vez que, según se verá, el criterio  imperante  en el nuevo estatuto  es que cuando  se trate de procesos que versen sobre inmuebles el valor que se tendrá en cuenta para efectos de establecer la cuantía es el catastral, que es más objetivo y fácilmente verificable.</w:t>
      </w:r>
    </w:p>
    <w:p w:rsidR="00D64741" w:rsidRPr="00C03118" w:rsidRDefault="00D64741" w:rsidP="00C03118">
      <w:pPr>
        <w:spacing w:line="480" w:lineRule="auto"/>
        <w:rPr>
          <w:sz w:val="24"/>
        </w:rPr>
      </w:pPr>
      <w:r w:rsidRPr="00C03118">
        <w:rPr>
          <w:sz w:val="24"/>
        </w:rPr>
        <w:t xml:space="preserve">c.  Tratándose de los procesos de declaración de pertenencia, saneamiento de titulación y, en general, aquellos que versen sobre </w:t>
      </w:r>
      <w:r w:rsidRPr="00C03118">
        <w:rPr>
          <w:sz w:val="24"/>
        </w:rPr>
        <w:lastRenderedPageBreak/>
        <w:t>dominio o posesión sobre bienes, la cuantía se determinará por el valor catastral de los inmuebles objeto del proceso7, según lo dispone el numeral 3º. Así, por ejemplo, si la pretensión  es la reivindicatoria sobre un inmueble, la cuantía se calculará por el valor catastral asignado al predio, regla que igualmente se aplica a los procesos posesorios. Punto que merece mención especial es el correspondiente al proceso de pertenencia, en el cual, según la norma contenida en el numeral 4 del artículo16 CPC, la cuantía no tenía ninguna injerencia a la hora de determinar la competencia, pues este tipo de procesos siempre serían de conocimiento  de los jueces del circuito; en el nuevo estatuto el tema es diferente habida consideración  que, al desaparecer la mención especial, los procesos de declaración  de pertenencia,  dependiendo de la cuantía, podrán  ser conocidos por los jueces municipales o del circuito, según sea el caso. Obsérvese que en el Código de Procedimiento Civil se señalaba que el proceso  de declaración  de pertenencia,  sin importar  el valor del bien, le correspondía  conocerlo siempre al juez civil del circuito, previsión que no aparece en el Código General del Proceso, por lo cual debe concluirse que en vigencia de la nueva codificación, la competencia de dicho proceso dependerá  del valor del bien que se pretende  adquirir por prescripción.</w:t>
      </w:r>
    </w:p>
    <w:p w:rsidR="00D64741" w:rsidRPr="00C03118" w:rsidRDefault="00D64741" w:rsidP="00C03118">
      <w:pPr>
        <w:spacing w:line="480" w:lineRule="auto"/>
        <w:rPr>
          <w:sz w:val="24"/>
        </w:rPr>
      </w:pPr>
      <w:r w:rsidRPr="00C03118">
        <w:rPr>
          <w:sz w:val="24"/>
        </w:rPr>
        <w:t xml:space="preserve">d.  En el proceso divisorio la cuantía se fija por el valor del avalúo catastral de los bienes objeto de la división o la venta, si es que se trata </w:t>
      </w:r>
      <w:r w:rsidRPr="00C03118">
        <w:rPr>
          <w:sz w:val="24"/>
        </w:rPr>
        <w:lastRenderedPageBreak/>
        <w:t>de inmuebles, porque cuando son bienes muebles será el valor comercial de ellos, regla en la cual no se introdujo ningún cambio, salvo que, según ya se mencionó, el relacionado con que es el valor catastral el que impera si de inmuebles se trata.</w:t>
      </w:r>
    </w:p>
    <w:p w:rsidR="00D64741" w:rsidRPr="00C03118" w:rsidRDefault="00D64741" w:rsidP="00C03118">
      <w:pPr>
        <w:spacing w:line="480" w:lineRule="auto"/>
        <w:rPr>
          <w:sz w:val="24"/>
        </w:rPr>
      </w:pPr>
      <w:r w:rsidRPr="00C03118">
        <w:rPr>
          <w:sz w:val="24"/>
        </w:rPr>
        <w:t>e.  En el proceso de sucesión nos indica el numeral 5º que la cuantía se fija por el valor de los bienes relictos, es decir, solamente de los activos de la herencia que se va a liquidar en el proceso, en donde igualmente se aplica la regla ya referida en lo tocante con el valor catastral de los inmuebles.</w:t>
      </w:r>
    </w:p>
    <w:p w:rsidR="00D64741" w:rsidRPr="00C03118" w:rsidRDefault="00D64741" w:rsidP="00C03118">
      <w:pPr>
        <w:spacing w:line="480" w:lineRule="auto"/>
        <w:rPr>
          <w:sz w:val="24"/>
        </w:rPr>
      </w:pPr>
      <w:r w:rsidRPr="00C03118">
        <w:rPr>
          <w:sz w:val="24"/>
        </w:rPr>
        <w:t xml:space="preserve">f.  Cuando  el proceso  sea el de restitución  de inmueble  arrendado,  el numeral 6º de la disposición en comento  ordena, como igualmente se hace en el Código de Procedimiento Civil, tener  en cuenta  si el contrato  de arrendamiento se celebró a término  fijo o si se celebró a término  indefinido. En el primer  caso, es necesario  multiplicar  el valor actual de la renta por el término  inicialmente  fijado en el contrato;  en el segundo, se suma el valor de los últimos 12 cánones de arrendamiento anteriores a la presentación  de la demanda8; si el contrato,  siendo a término indefinido, para el momento  en que se radica el libelo aún no ha durado  12 meses, habrá que interpretar que la cuantía corresponderá a la sumatoria  de los cánones correspondientes a los meses que se haya ejecutado el contrato hasta ese momento.  Se mantienen  las hipótesis relativas, en primer lugar, a los contratos  en </w:t>
      </w:r>
      <w:r w:rsidRPr="00C03118">
        <w:rPr>
          <w:sz w:val="24"/>
        </w:rPr>
        <w:lastRenderedPageBreak/>
        <w:t>los que los cánones deban pagarse con los frutos del bien, caso en el cual la cuantía se fija por el valor de ellos en los últimos 12 meses anteriores a la radicación de la demanda; y, en segundo lugar, a los otros procesos de restitución  de tenencia, es decir, a los que no tienen su origen en el contrato  de arrendamiento sino en otros negocios que igualmente  generan  una relación de tenencia,  como ocurre  con el depósito, el comodato  o el leasing, caso en el cual la cuantía del proceso atiende al valor de los bienes, que en el caso de los inmuebles es el catastral.</w:t>
      </w:r>
    </w:p>
    <w:p w:rsidR="00D64741" w:rsidRPr="00C03118" w:rsidRDefault="00D64741" w:rsidP="00C03118">
      <w:pPr>
        <w:spacing w:line="480" w:lineRule="auto"/>
        <w:rPr>
          <w:sz w:val="24"/>
        </w:rPr>
      </w:pPr>
      <w:r w:rsidRPr="00C03118">
        <w:rPr>
          <w:sz w:val="24"/>
        </w:rPr>
        <w:t>g. En lo que toca con el proceso de servidumbre, el numeral 7º mantiene  la regla del Código de Procedimiento Civil que nos enseña que la cuantía se fija por el valor catastral del predio sirviente.</w:t>
      </w:r>
    </w:p>
    <w:p w:rsidR="00D64741" w:rsidRPr="00C03118" w:rsidRDefault="00D64741" w:rsidP="00C03118">
      <w:pPr>
        <w:pStyle w:val="Ttulo2"/>
      </w:pPr>
      <w:bookmarkStart w:id="5" w:name="_Toc76155628"/>
      <w:r w:rsidRPr="00C03118">
        <w:t>Factor subjetivo</w:t>
      </w:r>
      <w:bookmarkEnd w:id="5"/>
    </w:p>
    <w:p w:rsidR="00C03118" w:rsidRPr="00C03118" w:rsidRDefault="00C03118" w:rsidP="00C03118">
      <w:pPr>
        <w:spacing w:line="480" w:lineRule="auto"/>
      </w:pPr>
    </w:p>
    <w:p w:rsidR="00D64741" w:rsidRPr="00C03118" w:rsidRDefault="00D64741" w:rsidP="00C03118">
      <w:pPr>
        <w:spacing w:line="480" w:lineRule="auto"/>
        <w:rPr>
          <w:sz w:val="24"/>
        </w:rPr>
      </w:pPr>
      <w:r w:rsidRPr="00C03118">
        <w:rPr>
          <w:sz w:val="24"/>
        </w:rPr>
        <w:t>Es sabido que el factor subjetivo es el que permite fijar la competencia dependiendo las condiciones particulares o las características especiales de ciertos sujetos que concurren al proceso, de tal suerte que una vez verificado que demandante o demandado  las posee, la competencia  inmediatamente se le asigna a un determinado juez sin tener en cuenta otro factor, pues el subjetivo prevalece, como lo indica con claridad el inciso 1º del artículo 29 CGP, según el cual “es prevalente la competencia establecida en consideración a la calidad de las partes”.</w:t>
      </w:r>
    </w:p>
    <w:p w:rsidR="00D64741" w:rsidRPr="00C03118" w:rsidRDefault="00D64741" w:rsidP="00C03118">
      <w:pPr>
        <w:spacing w:line="480" w:lineRule="auto"/>
        <w:rPr>
          <w:sz w:val="24"/>
        </w:rPr>
      </w:pPr>
      <w:r w:rsidRPr="00C03118">
        <w:rPr>
          <w:sz w:val="24"/>
        </w:rPr>
        <w:lastRenderedPageBreak/>
        <w:t>En Colombia, según se desprende  de lo previsto en los artículos 27 y 30</w:t>
      </w:r>
    </w:p>
    <w:p w:rsidR="00D64741" w:rsidRPr="00C03118" w:rsidRDefault="00773D67" w:rsidP="00C03118">
      <w:pPr>
        <w:spacing w:line="480" w:lineRule="auto"/>
        <w:rPr>
          <w:sz w:val="24"/>
        </w:rPr>
      </w:pPr>
      <w:r w:rsidRPr="00C03118">
        <w:rPr>
          <w:sz w:val="24"/>
        </w:rPr>
        <w:t>núm.</w:t>
      </w:r>
      <w:r w:rsidR="00D64741" w:rsidRPr="00C03118">
        <w:rPr>
          <w:sz w:val="24"/>
        </w:rPr>
        <w:t xml:space="preserve"> 6º, el factor subjetivo se aplica en dos casos: estados extranjeros y agentes diplomáticos, en aquellos casos en que pueden concurrir  ante los jueces nacionales de acuerdo con las normas  del derecho internacional,  caso en el cual la competencia para conocer del proceso se le asigna en única instancia a la Sala de Casación Civil de la Corte Suprema de Justicia.</w:t>
      </w:r>
    </w:p>
    <w:p w:rsidR="00D64741" w:rsidRPr="00C03118" w:rsidRDefault="00D64741" w:rsidP="00C03118">
      <w:pPr>
        <w:spacing w:line="480" w:lineRule="auto"/>
        <w:rPr>
          <w:sz w:val="24"/>
        </w:rPr>
      </w:pPr>
      <w:r w:rsidRPr="00C03118">
        <w:rPr>
          <w:sz w:val="24"/>
        </w:rPr>
        <w:t xml:space="preserve">Que un agente diplomático  debidamente  acreditado  en Colombia pueda someterse a la jurisdicción de nuestro país en el ramo civil no es una novedad, pues ello está previsto, como todos lo conocemos,  desde la Convención  de Viena sobre Relaciones Consulares,  la primera  de 18 de abril de 1961 y la segunda de 24 de abril de 1963, debidamente  aprobadas  por Colombia. Lo novedoso de la norma  consiste  en establecer  que un estado  extranjero,  en aquellos casos admitidos por el derecho internacional, podrá comparecer ante jueces colombianos, específicamente ante la Sala de Casación Civil de la Corte Suprema de Justicia. El Código no está disponiendo que los estados extranjeros puedan ser juzgados por autoridades  colombianas; lo que está señalando es que en aquellos casos en que el derecho internacional así lo permita y siempre y cuando  Colombia ratifique los instrumentos internacionales  existentes  al efecto, la competencia  se radicará en única instancia en la Sala de Casación Civil de la Corte9. Lo que se </w:t>
      </w:r>
      <w:r w:rsidRPr="00C03118">
        <w:rPr>
          <w:sz w:val="24"/>
        </w:rPr>
        <w:lastRenderedPageBreak/>
        <w:t>quiere señalar es que se equivocan quienes creen</w:t>
      </w:r>
      <w:r w:rsidR="00773D67" w:rsidRPr="00C03118">
        <w:rPr>
          <w:sz w:val="24"/>
        </w:rPr>
        <w:t xml:space="preserve"> </w:t>
      </w:r>
      <w:r w:rsidRPr="00C03118">
        <w:rPr>
          <w:sz w:val="24"/>
        </w:rPr>
        <w:t>que con esta disposición el Código General del Proceso pasó por encima de</w:t>
      </w:r>
      <w:r w:rsidR="00773D67" w:rsidRPr="00C03118">
        <w:rPr>
          <w:sz w:val="24"/>
        </w:rPr>
        <w:t xml:space="preserve"> </w:t>
      </w:r>
      <w:r w:rsidRPr="00C03118">
        <w:rPr>
          <w:sz w:val="24"/>
        </w:rPr>
        <w:t>la inmunidad  jurisdiccional de los estados, pues simplemente  la disposición fijó competencias  para conocer de estos procesos, en aquellos casos en que se admitan  por  el derecho  internacional  excepciones  a dicho  principio  de inmunidad  y que puedan aplicarse en Colombia dichas excepciones.</w:t>
      </w:r>
    </w:p>
    <w:p w:rsidR="00D64741" w:rsidRPr="00C03118" w:rsidRDefault="00D64741" w:rsidP="00C03118">
      <w:pPr>
        <w:pStyle w:val="Ttulo2"/>
      </w:pPr>
      <w:bookmarkStart w:id="6" w:name="_Toc76155629"/>
      <w:r w:rsidRPr="00C03118">
        <w:t>Factor funcional</w:t>
      </w:r>
      <w:bookmarkEnd w:id="6"/>
    </w:p>
    <w:p w:rsidR="00D64741" w:rsidRPr="00C03118" w:rsidRDefault="00D64741" w:rsidP="00C03118">
      <w:pPr>
        <w:spacing w:line="480" w:lineRule="auto"/>
        <w:rPr>
          <w:sz w:val="24"/>
        </w:rPr>
      </w:pPr>
      <w:r w:rsidRPr="00C03118">
        <w:rPr>
          <w:sz w:val="24"/>
        </w:rPr>
        <w:t>En lo relacionado  con  el factor  funcional10,  regulado  en  los artículos  17 (competencia  de los jueces civiles municipales en única instancia), 18 (jueces civiles municipales en primera  instancia), 19 (jueces civiles del circuito</w:t>
      </w:r>
      <w:r w:rsidR="00773D67" w:rsidRPr="00C03118">
        <w:rPr>
          <w:sz w:val="24"/>
        </w:rPr>
        <w:t xml:space="preserve"> </w:t>
      </w:r>
      <w:r w:rsidRPr="00C03118">
        <w:rPr>
          <w:sz w:val="24"/>
        </w:rPr>
        <w:t>en única instancia), 20 (jueces civiles del circuito en primera  instancia), 33 (jueces civiles del circuito en segunda instancia), 31 (competencia de las salas civiles de los tribunales) y 30 (competencia de la Sala de Casación Civil de la Corte Suprema de Justicia), vale la pena hacer las siguientes precisiones:</w:t>
      </w:r>
    </w:p>
    <w:p w:rsidR="00D64741" w:rsidRPr="00C03118" w:rsidRDefault="00D64741" w:rsidP="00C03118">
      <w:pPr>
        <w:spacing w:line="480" w:lineRule="auto"/>
        <w:rPr>
          <w:sz w:val="24"/>
        </w:rPr>
      </w:pPr>
      <w:r w:rsidRPr="00C03118">
        <w:rPr>
          <w:sz w:val="24"/>
        </w:rPr>
        <w:t xml:space="preserve">a. De conformidad  con lo señalado por el artículo 17 CGP, los jueces civiles municipales  conocerán  en única  instancia,  además  de los procesos contenciosos  entre  particulares  de  mínima  cuantía,  incluyendo  los de responsabilidad  médica que no sean de conocimiento  de la Jurisdicción de lo Contencioso  Administrativo, y de las sucesiones de mínima cuantía, “De los conflictos que se presenten  entre  los </w:t>
      </w:r>
      <w:r w:rsidRPr="00C03118">
        <w:rPr>
          <w:sz w:val="24"/>
        </w:rPr>
        <w:lastRenderedPageBreak/>
        <w:t>copropietarios  o tenedores del edificio o conjunto  o entre ellos y el administrador, el consejo de administración, o cualquier otro órgano de dirección o control de la persona jurídica, en razón de la aplicación o de la interpretación de la ley y del reglamento  de propiedad  horizontal  (num.  4º ). Igualmente  conocerán “de los asuntos  atribuidos  al juez de familia en única instancia,  cuando en el municipio  no haya juez de familia o promiscuo  de familia.” (num.</w:t>
      </w:r>
      <w:r w:rsidR="00773D67" w:rsidRPr="00C03118">
        <w:rPr>
          <w:sz w:val="24"/>
        </w:rPr>
        <w:t xml:space="preserve"> </w:t>
      </w:r>
      <w:r w:rsidRPr="00C03118">
        <w:rPr>
          <w:sz w:val="24"/>
        </w:rPr>
        <w:t>6º), así como  de “de todos  los requerimientos y diligencias varias, sin consideración  a la calidad de las personas  interesadas”  (num.  7º) y “de las controversias  que se susciten  en los procedimientos de insolvencia de personas  naturales  no comerciantes  y de su liquidación  patrimonial, sin perjuicio de las funciones jurisdiccionales otorgadas a las autoridades administrativas”(num. 9º), competencia ésta última que ya se encuentra en vigencia, toda vez que el procedimiento de insolvencia contenidos en este estatuto entró en vigencia desde el pasado 1º de octubre de 2012.</w:t>
      </w:r>
    </w:p>
    <w:p w:rsidR="00D64741" w:rsidRPr="00C03118" w:rsidRDefault="00D64741" w:rsidP="00C03118">
      <w:pPr>
        <w:spacing w:line="480" w:lineRule="auto"/>
        <w:rPr>
          <w:sz w:val="24"/>
        </w:rPr>
      </w:pPr>
      <w:r w:rsidRPr="00C03118">
        <w:rPr>
          <w:sz w:val="24"/>
        </w:rPr>
        <w:t>b. En primera  instancia, de conformidad  con lo establecido por el artículo</w:t>
      </w:r>
      <w:r w:rsidR="00773D67" w:rsidRPr="00C03118">
        <w:rPr>
          <w:sz w:val="24"/>
        </w:rPr>
        <w:t xml:space="preserve"> </w:t>
      </w:r>
      <w:r w:rsidRPr="00C03118">
        <w:rPr>
          <w:sz w:val="24"/>
        </w:rPr>
        <w:t xml:space="preserve">18 CGP, se destaca, además de la competencia  de los jueces civiles para conocer de los procesos contenciosos  entre particulares de menor cuantía, incluyendo los de responsabilidad  médica que no estén atribuidos  a la justicia administrativa,  así como de las sucesiones de menor cuantía, la competencia para el conocimiento de (i) los procesos posesorios regulados en el Código Civil (num.2º); (ii) los procesos </w:t>
      </w:r>
      <w:r w:rsidRPr="00C03118">
        <w:rPr>
          <w:sz w:val="24"/>
        </w:rPr>
        <w:lastRenderedPageBreak/>
        <w:t>especiales para el saneamiento de la titulación de la propiedad inmueble previstos en la ley 1561 de 2012,</w:t>
      </w:r>
      <w:r w:rsidR="00773D67" w:rsidRPr="00C03118">
        <w:rPr>
          <w:sz w:val="24"/>
        </w:rPr>
        <w:t xml:space="preserve"> </w:t>
      </w:r>
      <w:r w:rsidRPr="00C03118">
        <w:rPr>
          <w:sz w:val="24"/>
        </w:rPr>
        <w:t>vigente desde el pasado 11 de enero de 2013 (num. 3º); (iii) las solicitudes</w:t>
      </w:r>
      <w:r w:rsidR="00773D67" w:rsidRPr="00C03118">
        <w:rPr>
          <w:sz w:val="24"/>
        </w:rPr>
        <w:t xml:space="preserve"> </w:t>
      </w:r>
      <w:r w:rsidRPr="00C03118">
        <w:rPr>
          <w:sz w:val="24"/>
        </w:rPr>
        <w:t>de pruebas extraprocesales “sin consideración  a la calidad de las personas interesadas, ni a la autoridad donde se hayan de aducir” (num. 7º).</w:t>
      </w:r>
    </w:p>
    <w:p w:rsidR="00D64741" w:rsidRPr="00C03118" w:rsidRDefault="00D64741" w:rsidP="00C03118">
      <w:pPr>
        <w:spacing w:line="480" w:lineRule="auto"/>
        <w:rPr>
          <w:sz w:val="24"/>
        </w:rPr>
      </w:pPr>
      <w:r w:rsidRPr="00C03118">
        <w:rPr>
          <w:sz w:val="24"/>
        </w:rPr>
        <w:t xml:space="preserve">Tres precisiones importantes en relación con la competencia de los jueces civiles municipales en primera instancia: La primera, que ya se mencionó cuando  se habló de competencia  por la cuantía,  es que los procesos  de declaración  de pertenencia  ya no serán de competencia  exclusiva de los jueces civiles del circuito, sino que, dependiendo el valor del bien que se va adquirir  por prescripción,  estos procesos serán conocidos por los jueces civiles municipales o por los jueces civiles del circuito, según sea el caso; la segunda, que el Código General del Proceso retorna  al sistema anterior a la ley 794 de 2003 en materia de pruebas extraprocesales, esto es, que el conocimiento  de ellas se le atribuye, a prevención, tanto a los jueces civiles municipales  como a los del circuito, a elección del peticionario,  sin que deba tenerse en cuenta al efecto ni la calidad de las partes ni la autoridad judicial o administrativa ante quien se vayan a hacer valer; la tercera, tiene que ver con los procesos de protección a los derechos de los consumidores a la luz de lo previsto en la ley 1480 de 2011, los cuales, dependiendo la cuantía, serán conocidos en primera o única instancia por los jueces </w:t>
      </w:r>
      <w:r w:rsidRPr="00C03118">
        <w:rPr>
          <w:sz w:val="24"/>
        </w:rPr>
        <w:lastRenderedPageBreak/>
        <w:t>civiles municipales si aquella es menor o mínima respectivamente,  y serán conocidos por los jueces civiles del circuito  cuando  la cuantía  sea mayor; en consecuencia, tratándose  de procesos de protección  a los derechos de los consumidores,  será necesario analizar la cuantía de las pretensiones  para determinar su competencia bien sea en los jueces civiles municipales o en los jueces civiles del circuito.</w:t>
      </w:r>
    </w:p>
    <w:p w:rsidR="00D64741" w:rsidRPr="00C03118" w:rsidRDefault="00D64741" w:rsidP="00C03118">
      <w:pPr>
        <w:spacing w:line="480" w:lineRule="auto"/>
        <w:rPr>
          <w:sz w:val="24"/>
        </w:rPr>
      </w:pPr>
      <w:r w:rsidRPr="00C03118">
        <w:rPr>
          <w:sz w:val="24"/>
        </w:rPr>
        <w:t>c. De acuerdo con el artículo 19 CGP, en única instancia los jueces civiles del circuito conocerán (i) de los procesos relativos a propiedad intelectual que en leyes especiales hayan sido diseñados como de única instancia (num.</w:t>
      </w:r>
      <w:r w:rsidR="00773D67" w:rsidRPr="00C03118">
        <w:rPr>
          <w:sz w:val="24"/>
        </w:rPr>
        <w:t xml:space="preserve"> </w:t>
      </w:r>
      <w:r w:rsidRPr="00C03118">
        <w:rPr>
          <w:sz w:val="24"/>
        </w:rPr>
        <w:t>1º); (ii) de los trámites  de insolvencia que no hayan sido atribuidos  a la Superintendencia de Sociedades, e igualmente conocerá, a prevención con dicha autoridad administrativa, de los procesos de insolvencia de persona natural no comerciante  (num. 2º); (iii) de la actuación para designación de árbitros que la partes no hayan podido designar de común acuerdo y que no hayan acordado delegar a un tercero, en consonancia con lo previsto en la sentencia C-1038 de 2002 de la Corte Constitucional y lo previsto en el num. 4º del artículo 14 de la ley 1563 de 2012 (num. 3º).</w:t>
      </w:r>
    </w:p>
    <w:p w:rsidR="00D64741" w:rsidRPr="00C03118" w:rsidRDefault="00D64741" w:rsidP="00C03118">
      <w:pPr>
        <w:spacing w:line="480" w:lineRule="auto"/>
        <w:rPr>
          <w:sz w:val="24"/>
        </w:rPr>
      </w:pPr>
      <w:r w:rsidRPr="00C03118">
        <w:rPr>
          <w:sz w:val="24"/>
        </w:rPr>
        <w:t xml:space="preserve">d. En primera instancia, según lo dispuesto por el artículo 20 CGP, los jueces civiles del circuito conocerán, además de los procesos contenciosos  entre particulares  que sean de mayor cuantía, incluidos los de responsabilidad médica que no conozcan los jueces de lo </w:t>
      </w:r>
      <w:r w:rsidRPr="00C03118">
        <w:rPr>
          <w:sz w:val="24"/>
        </w:rPr>
        <w:lastRenderedPageBreak/>
        <w:t>contencioso  administrativo,  los</w:t>
      </w:r>
      <w:r w:rsidR="00773D67" w:rsidRPr="00C03118">
        <w:rPr>
          <w:sz w:val="24"/>
        </w:rPr>
        <w:t xml:space="preserve"> </w:t>
      </w:r>
      <w:r w:rsidRPr="00C03118">
        <w:rPr>
          <w:sz w:val="24"/>
        </w:rPr>
        <w:t>procesos  (i) de propiedad  intelectual  (num.  2º), es decir, controversias</w:t>
      </w:r>
      <w:r w:rsidR="00773D67" w:rsidRPr="00C03118">
        <w:rPr>
          <w:sz w:val="24"/>
        </w:rPr>
        <w:t xml:space="preserve"> </w:t>
      </w:r>
      <w:r w:rsidRPr="00C03118">
        <w:rPr>
          <w:sz w:val="24"/>
        </w:rPr>
        <w:t xml:space="preserve">relacionadas  con derechos  de autor, violación de derechos  de propiedad industrial y de derechos de obtentor  de variedades vegetales, salvo los que estén atribuidos a la Jurisdicción de lo Contencioso Administrativo, como lo son los relacionados con la validez de los actos administrativos que conceden dichos derechos  a su titular. Estas controversias  relacionadas  con derechos de propiedad  intelectual, le fue atribuida a los jueces civiles del circuito sin consideración a la cuantía y sin perjuicio de la competencia de la Superintendencia de Industria  y Comercio  (propiedad  industrial),  Dirección Nacional de Derechos de Autor (derechos de autor) y del Instituto Colombiano Agropecuario ICA (derechos de obtentor  de variedades vegetales); (ii) de competencia desleal cualquiera sea su cuantía, sin perjuicio de la competencia  que al efecto tiene la Superintendencia de Industria  y Comercio (num. 3º); (iii) relativos a todas las controversias societarias, es decir de aquellas que “surjan con ocasión del contrato  de sociedad, o por la aplicación de las normas  que gobiernan  las demás personas  jurídicas de derecho privado, así como de los de nulidad, disolución y liquidación de tales personas, salvo norma  en contrario” (num. 4º); (iv) de expropiación sin importar  la cuantía  (num. 5º); (v) de impugnación  de actos de asambleas, juntas directivas, juntas de socios o de cualquier otro órgano directivo de </w:t>
      </w:r>
      <w:r w:rsidRPr="00C03118">
        <w:rPr>
          <w:sz w:val="24"/>
        </w:rPr>
        <w:lastRenderedPageBreak/>
        <w:t>personas jurídicas sometidas al derecho privado, sin importar la cuantía y sin perjuicio de la competencia que al efecto igualmente le fue asignada a las autoridades  administrativas  (num. 8º); (vi) de los procesos de mayor cuantía relacionados con el ejercicio de los consumidores  (num.</w:t>
      </w:r>
      <w:r w:rsidR="00773D67" w:rsidRPr="00C03118">
        <w:rPr>
          <w:sz w:val="24"/>
        </w:rPr>
        <w:t xml:space="preserve"> </w:t>
      </w:r>
      <w:r w:rsidRPr="00C03118">
        <w:rPr>
          <w:sz w:val="24"/>
        </w:rPr>
        <w:t>9º), toda vez que, según se vio, si éstos son de mínima o de menor cuantía serán de competencia de los jueces civiles municipales.</w:t>
      </w:r>
    </w:p>
    <w:p w:rsidR="00D64741" w:rsidRPr="00C03118" w:rsidRDefault="00D64741" w:rsidP="00C03118">
      <w:pPr>
        <w:spacing w:line="480" w:lineRule="auto"/>
        <w:rPr>
          <w:sz w:val="24"/>
        </w:rPr>
      </w:pPr>
      <w:r w:rsidRPr="00C03118">
        <w:rPr>
          <w:sz w:val="24"/>
        </w:rPr>
        <w:t>e. En relación con la competencia  de las salas civiles de los tribunales superiores y de la Sala de Casación Civil de la Corte Suprema de Justicia, se destaca la creación de un nuevo trámite,  no previsto con anterioridad  y, por ende, bastante  novedoso, conocido como el cambio de radicación de los procesos civiles, el cual ya se encuentra  vigente desde el pasado 1º de octubre de 2012. Este mecanismo tiene las siguientes características: (i) se predica de procesos civiles, comerciales, agrarios o de familia, o de otro actuaciones como, por ejemplo, una prueba o una medida cautelar extraprocesal; (ii) puede ser solicitado por las partes, por el Procurador  General de la Nación o por el Director de la Agencia Nacional de Defensa Jurídica del Estado; (iii) si el cambio se solicita de un distrito  judicial a otro, la competencia es en única instancia de la Sala de Casación Civil de la Corte Suprema de Justicia, pero si la solicitud no implica el cambio de un distrito a otro, sino simplemente  la remisión del proceso de un municipio a otro,</w:t>
      </w:r>
      <w:r w:rsidR="00773D67" w:rsidRPr="00C03118">
        <w:rPr>
          <w:sz w:val="24"/>
        </w:rPr>
        <w:t xml:space="preserve"> </w:t>
      </w:r>
      <w:r w:rsidRPr="00C03118">
        <w:rPr>
          <w:sz w:val="24"/>
        </w:rPr>
        <w:t xml:space="preserve">o de un </w:t>
      </w:r>
      <w:r w:rsidRPr="00C03118">
        <w:rPr>
          <w:sz w:val="24"/>
        </w:rPr>
        <w:lastRenderedPageBreak/>
        <w:t>circuito  a otro, pero dentro  del mismo distrito,  la competencia</w:t>
      </w:r>
      <w:r w:rsidR="00773D67" w:rsidRPr="00C03118">
        <w:rPr>
          <w:sz w:val="24"/>
        </w:rPr>
        <w:t xml:space="preserve"> </w:t>
      </w:r>
      <w:r w:rsidRPr="00C03118">
        <w:rPr>
          <w:sz w:val="24"/>
        </w:rPr>
        <w:t>es, en única instancia, de la sala civil del respectivo tribunal  superior del respectivo distrito; (iv) es un mecanismo  excepcional, el cual solamente se ordenará  “cuando en el lugar en donde  se esté adelantando  existan circunstancias  que puedan afectar el orden público, la imparcialidad o la independencia  de la administración de justicia, las garantías procesales o la seguridad o integridad  de los intervinientes”, o cuando igualmente  “se adviertan deficiencias de gestión y celeridad de los procesos, previo concepto de la Sala Administrativa  del Consejo Superior de la Judicatura”11; (v) a la solicitud de cambio de radicación deben acompañarse  las pruebas</w:t>
      </w:r>
      <w:r w:rsidR="00773D67" w:rsidRPr="00C03118">
        <w:rPr>
          <w:sz w:val="24"/>
        </w:rPr>
        <w:t xml:space="preserve"> </w:t>
      </w:r>
      <w:r w:rsidRPr="00C03118">
        <w:rPr>
          <w:sz w:val="24"/>
        </w:rPr>
        <w:t>pertinentes que acrediten alguna de las hipótesis previstas en la ley12; (vi) la decisión se adopta de plano13  y contra ella no cabe recurso alguno; (vii) la solicitud de cambio de radicación no suspende el proceso respectivo.</w:t>
      </w:r>
    </w:p>
    <w:p w:rsidR="00D64741" w:rsidRPr="00C03118" w:rsidRDefault="00D64741" w:rsidP="00C03118">
      <w:pPr>
        <w:pStyle w:val="Ttulo2"/>
      </w:pPr>
      <w:bookmarkStart w:id="7" w:name="_Toc76155630"/>
      <w:r w:rsidRPr="00C03118">
        <w:t>Factor territorial</w:t>
      </w:r>
      <w:bookmarkEnd w:id="7"/>
    </w:p>
    <w:p w:rsidR="00D64741" w:rsidRPr="00C03118" w:rsidRDefault="00D64741" w:rsidP="00C03118">
      <w:pPr>
        <w:spacing w:line="480" w:lineRule="auto"/>
        <w:rPr>
          <w:sz w:val="24"/>
        </w:rPr>
      </w:pPr>
      <w:r w:rsidRPr="00C03118">
        <w:rPr>
          <w:sz w:val="24"/>
        </w:rPr>
        <w:t>Siguiendo el mismo esquema que trae el Código de Procedimiento  Civil, para efectos de determinar la competencia  territorial  se desarrollan  los diferentes foros, fueros o “lugares” en donde pueden adelantarse los diferentes procesos, de la siguiente manera:</w:t>
      </w:r>
    </w:p>
    <w:p w:rsidR="00D64741" w:rsidRPr="00C03118" w:rsidRDefault="00D64741" w:rsidP="00C03118">
      <w:pPr>
        <w:spacing w:line="480" w:lineRule="auto"/>
        <w:rPr>
          <w:sz w:val="24"/>
        </w:rPr>
      </w:pPr>
      <w:r w:rsidRPr="00C03118">
        <w:rPr>
          <w:sz w:val="24"/>
        </w:rPr>
        <w:t xml:space="preserve">a. En lo concerniente al fuero general o domiciliario, se establece que, salvo disposición en contrario,  en los procesos contenciosos  es competente el juez que corresponda  al domicilio del demandado.  Si </w:t>
      </w:r>
      <w:r w:rsidRPr="00C03118">
        <w:rPr>
          <w:sz w:val="24"/>
        </w:rPr>
        <w:lastRenderedPageBreak/>
        <w:t>son varios demandados, la demanda se podrá presentar  ante el juez de cualquiera de ellos a elección del demandante. Si el demandado  carece de domicilio en el país será competente, entonces, el de su residencia y, en caso de que tampoco la tenga o ella se desconozca, la competencia se radica en el juez del domicilio o la residencia del demandante.</w:t>
      </w:r>
    </w:p>
    <w:p w:rsidR="00D64741" w:rsidRPr="00C03118" w:rsidRDefault="00D64741" w:rsidP="00C03118">
      <w:pPr>
        <w:spacing w:line="480" w:lineRule="auto"/>
        <w:rPr>
          <w:sz w:val="24"/>
        </w:rPr>
      </w:pPr>
      <w:r w:rsidRPr="00C03118">
        <w:rPr>
          <w:sz w:val="24"/>
        </w:rPr>
        <w:t>Como una variación del fuero general, establece el numeral 2º que en tratándose de los procesos de alimentos, nulidad de matrimonio civil y divorcio, cesación de efectos civiles, separación de cuerpos y de bienes, declaración de existencia de unión marital de hecho, liquidación de sociedad conyugal o patrimonial y en las medidas cautelares sobre personas o bienes vinculados a tales procesos o a la nulidad de matrimonio católico, además del domicilio del demandado  también será competente el juez que corresponde  al domicilio común  anterior,  siempre y cuando el demandante lo conserve. En consecuencia, al igual que ocurría con lo previsto por el numeral 4º del artículo 23 CPC, se establece que cuando de los mencionados  procesos se trata, el demandante podrá escoger y formular su demanda en el domicilio común anterior de la pareja, si aquél lo conserva, o acudir al foro general del domicilio del demandado.</w:t>
      </w:r>
    </w:p>
    <w:p w:rsidR="00D64741" w:rsidRPr="00C03118" w:rsidRDefault="00D64741" w:rsidP="00C03118">
      <w:pPr>
        <w:spacing w:line="480" w:lineRule="auto"/>
        <w:rPr>
          <w:sz w:val="24"/>
        </w:rPr>
      </w:pPr>
      <w:r w:rsidRPr="00C03118">
        <w:rPr>
          <w:sz w:val="24"/>
        </w:rPr>
        <w:t xml:space="preserve">Ahora bien, cuando se trata de procesos de alimentos, pérdida o suspensión de la patria potestad, investigación o impugnación  de la paternidad  o maternidad, custodias, cuidado personal y regulación de </w:t>
      </w:r>
      <w:r w:rsidRPr="00C03118">
        <w:rPr>
          <w:sz w:val="24"/>
        </w:rPr>
        <w:lastRenderedPageBreak/>
        <w:t>visitas, permisos para salir del país, medidas cautelares sobre personas o bienes vinculados a tales procesos, en los que el niño, niña o adolescente sea demandante o demandado, la competencia  se asigna de manera privativa al juez del domicilio o residencia de aquel. Esta norma, indudablemente tuitiva de los derechos del niño,  niña  o adolescente,  ordena  que en los procesos  mencionados la competencia  se asigna de manera exclusiva y excluyente en el juez del domicilio del niño, niña o adolescente, siempre y cuando, se insiste, uno de ellos figure como demandante o como demandado.</w:t>
      </w:r>
    </w:p>
    <w:p w:rsidR="00D64741" w:rsidRPr="00C03118" w:rsidRDefault="00D64741" w:rsidP="00C03118">
      <w:pPr>
        <w:spacing w:line="480" w:lineRule="auto"/>
        <w:rPr>
          <w:sz w:val="24"/>
        </w:rPr>
      </w:pPr>
      <w:r w:rsidRPr="00C03118">
        <w:rPr>
          <w:sz w:val="24"/>
        </w:rPr>
        <w:t>El numeral  8º del artículo  28 CGP consagra  un caso especial de fuero</w:t>
      </w:r>
      <w:r w:rsidR="00773D67" w:rsidRPr="00C03118">
        <w:rPr>
          <w:sz w:val="24"/>
        </w:rPr>
        <w:t xml:space="preserve"> </w:t>
      </w:r>
      <w:r w:rsidRPr="00C03118">
        <w:rPr>
          <w:sz w:val="24"/>
        </w:rPr>
        <w:t>domiciliario en donde éste tiene el carácter exclusivo. Establece la norma que en los procesos concursales y de insolvencia es competente de manera privativa el juez del domicilio del deudor.</w:t>
      </w:r>
    </w:p>
    <w:p w:rsidR="00D64741" w:rsidRPr="00C03118" w:rsidRDefault="00D64741" w:rsidP="00C03118">
      <w:pPr>
        <w:spacing w:line="480" w:lineRule="auto"/>
        <w:rPr>
          <w:sz w:val="24"/>
        </w:rPr>
      </w:pPr>
      <w:r w:rsidRPr="00C03118">
        <w:rPr>
          <w:sz w:val="24"/>
        </w:rPr>
        <w:t xml:space="preserve">Los numerales  9º y 10º instituyen  otra  variación del fuero domiciliario cuando  se trata  de entidades  públicas, en aquellos  casos en que éstas de manera  excepcional comparecen  ante la jurisdicción  ordinaria  en su especialidad civil y no ante la Jurisdicción de lo Contencioso  Administrativo, como es la regla general. En virtud de estas disposiciones se tiene que (i) Si la Nación es demandante el proceso  debe adelantarse  ante el juez que corresponda a la cabecera del distrito  judicial del domicilio del demandado;  (ii) si la Nación  es demandada  el proceso  se tramita  ante el juez que corresponda a la cabecera del </w:t>
      </w:r>
      <w:r w:rsidRPr="00C03118">
        <w:rPr>
          <w:sz w:val="24"/>
        </w:rPr>
        <w:lastRenderedPageBreak/>
        <w:t>distrito  judicial del domicilio del demandante;  (iii) si en el proceso figura como parte una entidad descentralizada  territorialmente, descentralizada  por servicios y, en general, cualquier otra entidad  pública, el proceso lo conocerá  privativamente  el juez del domicilio de dicha entidad;  (iv) si en el proceso interviene  una parte conformada por una entidad pública y otro sujeto, la competencia se fija por el factor territorial de aquella, es decir, prevalece el fuero territorial que corresponde  a la entidad.</w:t>
      </w:r>
    </w:p>
    <w:p w:rsidR="00D64741" w:rsidRPr="00C03118" w:rsidRDefault="00D64741" w:rsidP="00C03118">
      <w:pPr>
        <w:spacing w:line="480" w:lineRule="auto"/>
        <w:rPr>
          <w:sz w:val="24"/>
        </w:rPr>
      </w:pPr>
      <w:r w:rsidRPr="00C03118">
        <w:rPr>
          <w:sz w:val="24"/>
        </w:rPr>
        <w:t>Tratándose  de procesos de jurisdicción voluntaria, igualmente se aplica el fuero domiciliario, con las siguientes variaciones reguladas por el numeral</w:t>
      </w:r>
      <w:r w:rsidR="00773D67" w:rsidRPr="00C03118">
        <w:rPr>
          <w:sz w:val="24"/>
        </w:rPr>
        <w:t xml:space="preserve"> </w:t>
      </w:r>
      <w:r w:rsidRPr="00C03118">
        <w:rPr>
          <w:sz w:val="24"/>
        </w:rPr>
        <w:t>13 de la norma en comento: (i) En los procesos de guarda de niños, niñas o adolescentes, interdicción  y guarda de personas con discapacidad mental o de sordomudo,  la competencia  le corresponde  al juez de la residencia del incapaz; (ii) En los procesos de declaración de ausencia o de muerte por desaparecimiento de una persona, la competencia  se le asigna al juez del último  domicilio que el ausente  o el desaparecido  haya tenido  en el territorio  nacional; (iii) En los demás procesos de jurisdicción voluntaria, la competencia es del juez del domicilio de quien los promueva.</w:t>
      </w:r>
    </w:p>
    <w:p w:rsidR="00D64741" w:rsidRPr="00C03118" w:rsidRDefault="00D64741" w:rsidP="00C03118">
      <w:pPr>
        <w:spacing w:line="480" w:lineRule="auto"/>
        <w:rPr>
          <w:sz w:val="24"/>
        </w:rPr>
      </w:pPr>
      <w:r w:rsidRPr="00C03118">
        <w:rPr>
          <w:sz w:val="24"/>
        </w:rPr>
        <w:t xml:space="preserve">b. El numeral 3º del artículo 28 desarrolla el fuero contractual, el cual es concurrente  con el general a elección del demandante.  Enseña la disposición que en los procesos  surgidos  de un negocio jurídico, será </w:t>
      </w:r>
      <w:r w:rsidRPr="00C03118">
        <w:rPr>
          <w:sz w:val="24"/>
        </w:rPr>
        <w:lastRenderedPageBreak/>
        <w:t>competente, además del juez del domicilio del demandado,  el juez que corresponda al del cumplimiento de cualquiera  de las obligaciones originadas en dicho negocio.</w:t>
      </w:r>
    </w:p>
    <w:p w:rsidR="00D64741" w:rsidRPr="00C03118" w:rsidRDefault="00D64741" w:rsidP="00C03118">
      <w:pPr>
        <w:spacing w:line="480" w:lineRule="auto"/>
        <w:rPr>
          <w:sz w:val="24"/>
        </w:rPr>
      </w:pPr>
      <w:r w:rsidRPr="00C03118">
        <w:rPr>
          <w:sz w:val="24"/>
        </w:rPr>
        <w:t>La primera precisión que resulta pertinente de esta disposición es que el fuero contractual radica competencia ante el juez del lugar de cumplimiento de cualquiera de las obligaciones surgidas del contrato,  sin importar  si en la respectiva demanda (sea declarativa o ejecutiva) se discute o pretende el cumplimiento de dicha obligación en particular.  En consecuencia, con independencia  de si esa específica obligación es la que constituye el objeto del proceso, por el hecho de ser una de las prestaciones nacidas del negocio, permite  asignar competencia  al juez del lugar en donde  debía cumplirse.  Esto marca una diferencia importante con la disposición del Código de Procedimiento Civil (art. 23 num. 5º), toda vez que dicho precepto simplemente  señalaba que era competente el juez “del lugar de su cumplimiento”, norma que había generado que algunos interpretaran que cuando existían varias obligaciones nacidas del negocio jurídico con distintos lugares de cumplimiento,  el demandante solamente podía escoger el lugar que correspondiera al del cumplimiento de la pretensión  sobre la cual específicamente versaba el proceso.</w:t>
      </w:r>
    </w:p>
    <w:p w:rsidR="00D64741" w:rsidRPr="00C03118" w:rsidRDefault="00D64741" w:rsidP="00C03118">
      <w:pPr>
        <w:spacing w:line="480" w:lineRule="auto"/>
        <w:rPr>
          <w:sz w:val="24"/>
        </w:rPr>
      </w:pPr>
      <w:r w:rsidRPr="00C03118">
        <w:rPr>
          <w:sz w:val="24"/>
        </w:rPr>
        <w:t xml:space="preserve">La segunda precisión –que además es novedad en la disposición–  es que el fuero contractual  se aplica incluso a aquellos procesos que </w:t>
      </w:r>
      <w:r w:rsidRPr="00C03118">
        <w:rPr>
          <w:sz w:val="24"/>
        </w:rPr>
        <w:lastRenderedPageBreak/>
        <w:t>involucren títulos  ejecutivos, con lo cual queda claro que esta norma  se aplica no solamente  a los procesos  declarativos  sino también  a los de ejecución, específicamente  cuando se trata  de obligaciones incorporadas  en títulos valores en los que se haya pactado  el lugar del pago. En efecto, hay que recordar que debido a la redacción del ya citado numeral 5º del artículo 23</w:t>
      </w:r>
      <w:r w:rsidR="00773D67" w:rsidRPr="00C03118">
        <w:rPr>
          <w:sz w:val="24"/>
        </w:rPr>
        <w:t xml:space="preserve"> </w:t>
      </w:r>
      <w:r w:rsidRPr="00C03118">
        <w:rPr>
          <w:sz w:val="24"/>
        </w:rPr>
        <w:t>CPC, se había entendido  que cuando se tratara de hacer efectivo judicialmente el pago de obligaciones incorporadas en un título valor, en el cual se hubiese señalado el lugar del pago al amparo de lo previsto por el artículo</w:t>
      </w:r>
      <w:r w:rsidR="00773D67" w:rsidRPr="00C03118">
        <w:rPr>
          <w:sz w:val="24"/>
        </w:rPr>
        <w:t xml:space="preserve"> </w:t>
      </w:r>
      <w:r w:rsidRPr="00C03118">
        <w:rPr>
          <w:sz w:val="24"/>
        </w:rPr>
        <w:t>621 CCO, dicho lugar no generaba un fuero para asignar competencia  y la demanda debía presentarse  en el fuero general, es decir, en el domicilio del deudor  demandado,  habida consideración  que la ley procesal hacía referencia era al lugar de cumplimiento de obligaciones nacidas de un contrato y un título valor no tiene tal calidad. Con la disposición del numeral</w:t>
      </w:r>
      <w:r w:rsidR="00773D67" w:rsidRPr="00C03118">
        <w:rPr>
          <w:sz w:val="24"/>
        </w:rPr>
        <w:t xml:space="preserve"> </w:t>
      </w:r>
      <w:r w:rsidRPr="00C03118">
        <w:rPr>
          <w:sz w:val="24"/>
        </w:rPr>
        <w:t>3º del artículo 28 CGP, que extiende el fuero contractual  a los procesos originados en títulos ejecutivos (denominación en la cual están incluidos los títulos valores), es claro que si en el texto del título se incluye el lugar del pago de la obligación, en ese lugar podrá formularse la correspondiente</w:t>
      </w:r>
      <w:r w:rsidR="00773D67" w:rsidRPr="00C03118">
        <w:rPr>
          <w:sz w:val="24"/>
        </w:rPr>
        <w:t xml:space="preserve"> </w:t>
      </w:r>
      <w:r w:rsidRPr="00C03118">
        <w:rPr>
          <w:sz w:val="24"/>
        </w:rPr>
        <w:t>demanda.</w:t>
      </w:r>
    </w:p>
    <w:p w:rsidR="00D64741" w:rsidRPr="00C03118" w:rsidRDefault="00D64741" w:rsidP="00C03118">
      <w:pPr>
        <w:spacing w:line="480" w:lineRule="auto"/>
        <w:rPr>
          <w:sz w:val="24"/>
        </w:rPr>
      </w:pPr>
      <w:r w:rsidRPr="00C03118">
        <w:rPr>
          <w:sz w:val="24"/>
        </w:rPr>
        <w:t>La tercera  precisión es que al desaparecer  el numeral  12 del artículo 23</w:t>
      </w:r>
      <w:r w:rsidR="00773D67" w:rsidRPr="00C03118">
        <w:rPr>
          <w:sz w:val="24"/>
        </w:rPr>
        <w:t xml:space="preserve"> </w:t>
      </w:r>
      <w:r w:rsidRPr="00C03118">
        <w:rPr>
          <w:sz w:val="24"/>
        </w:rPr>
        <w:t xml:space="preserve">CPC, disposición que desarrollaba el llamado fuero de la gestión administrativa, relativo a los procesos de rendición de cuentas, cuya </w:t>
      </w:r>
      <w:r w:rsidRPr="00C03118">
        <w:rPr>
          <w:sz w:val="24"/>
        </w:rPr>
        <w:lastRenderedPageBreak/>
        <w:t>competencia se asignaba, además del fuero general, al juez que correspondiera “al centro principal de la administración”, en este tipo de procesos debe aplicarse el fuero general y el contractual.  Por ello, cuando se vaya a promover un proceso de rendición de cuentas en vigencia del Código General del Proceso, la demanda se presentará  ante el juez del domicilio del demandado o ante el juez del lugar de cumplimiento de cualquiera de las prestaciones surgidas del contrato  en virtud del cual se están pidiendo las cuentas, si es que la obligación de rendirlas tiene origen negocial.</w:t>
      </w:r>
    </w:p>
    <w:p w:rsidR="00D64741" w:rsidRPr="00C03118" w:rsidRDefault="00D64741" w:rsidP="00C03118">
      <w:pPr>
        <w:spacing w:line="480" w:lineRule="auto"/>
        <w:rPr>
          <w:sz w:val="24"/>
        </w:rPr>
      </w:pPr>
      <w:r w:rsidRPr="00C03118">
        <w:rPr>
          <w:sz w:val="24"/>
        </w:rPr>
        <w:t>c. El denominado  fuero societario aparece regulado en los 4º y 5º del artículo</w:t>
      </w:r>
      <w:r w:rsidR="00773D67" w:rsidRPr="00C03118">
        <w:rPr>
          <w:sz w:val="24"/>
        </w:rPr>
        <w:t xml:space="preserve"> </w:t>
      </w:r>
      <w:r w:rsidRPr="00C03118">
        <w:rPr>
          <w:sz w:val="24"/>
        </w:rPr>
        <w:t xml:space="preserve">28 CGP. El primero  de los numerales  mencionados  indica que cuando se pretenda  la nulidad, disolución y liquidación  de sociedades, civiles o comerciales, o cuando se trate de controversias entre los socios en razón de la sociedad, aún después de que ésta se haya liquidado, será competente  de manera  privativa el juez del domicilio principal de la sociedad. En estos casos, como el objeto del proceso está relacionado directamente con la sociedad, la ley determinó  que la competencia se radica de manera privativa en el juez que corresponde  al domicilio principal de la misma. Hay que recordar  que este tipo de procesos también puede ser conocido por la Superintendencia de Sociedades en virtud de lo previsto por los literales b y c del numeral 5º del artículo 24 CGP, competencia que, como ocurre siempre con el ejercicio de las </w:t>
      </w:r>
      <w:r w:rsidRPr="00C03118">
        <w:rPr>
          <w:sz w:val="24"/>
        </w:rPr>
        <w:lastRenderedPageBreak/>
        <w:t>funciones jurisdiccionales por parte de autoridades administrativas, es a prevención.</w:t>
      </w:r>
    </w:p>
    <w:p w:rsidR="00D64741" w:rsidRPr="00C03118" w:rsidRDefault="00D64741" w:rsidP="00C03118">
      <w:pPr>
        <w:spacing w:line="480" w:lineRule="auto"/>
        <w:rPr>
          <w:sz w:val="24"/>
        </w:rPr>
      </w:pPr>
      <w:r w:rsidRPr="00C03118">
        <w:rPr>
          <w:sz w:val="24"/>
        </w:rPr>
        <w:t>El numeral 5º, por su parte, dispone que cuando se promueva un proceso en contra de una persona jurídica (la norma no limita su alcance a sociedades sino que se extiende, en general, para personas jurídicas), la competencia le corresponde  al juez de su domicilio principal o al juez en donde se encuentre ubicada la sucursal o agencia, si es que el proceso está relacionado</w:t>
      </w:r>
      <w:r w:rsidR="00773D67" w:rsidRPr="00C03118">
        <w:rPr>
          <w:sz w:val="24"/>
        </w:rPr>
        <w:t xml:space="preserve"> </w:t>
      </w:r>
      <w:r w:rsidRPr="00C03118">
        <w:rPr>
          <w:sz w:val="24"/>
        </w:rPr>
        <w:t>con éstas. Así las cosas, si el proceso se promueve contra una sociedad la</w:t>
      </w:r>
      <w:r w:rsidR="00773D67" w:rsidRPr="00C03118">
        <w:rPr>
          <w:sz w:val="24"/>
        </w:rPr>
        <w:t xml:space="preserve"> </w:t>
      </w:r>
      <w:r w:rsidRPr="00C03118">
        <w:rPr>
          <w:sz w:val="24"/>
        </w:rPr>
        <w:t>demanda deberá radicarse ante el juez de su domicilio principal, salvo que el litigio verse sobre asuntos vinculados a una sucursal o agencia, caso en el cual, a elección del demandante, la demanda también podrá presentarse ante el juez del lugar en donde está ubicada la sucursal o agencia. El nuevo estatuto procesal no contempla, como sí lo hacía el artículo 46 del decreto</w:t>
      </w:r>
      <w:r w:rsidR="00773D67" w:rsidRPr="00C03118">
        <w:rPr>
          <w:sz w:val="24"/>
        </w:rPr>
        <w:t xml:space="preserve"> </w:t>
      </w:r>
      <w:r w:rsidRPr="00C03118">
        <w:rPr>
          <w:sz w:val="24"/>
        </w:rPr>
        <w:t>2651 de 1991, que en estos casos la demanda también podía presentarse ante el juez del domicilio del representante legal de la sociedad, fuero que ahora no se contempla toda vez que implicaba una inadmisible confusión entre la persona jurídica y su representante legal.</w:t>
      </w:r>
    </w:p>
    <w:p w:rsidR="00D64741" w:rsidRPr="00C03118" w:rsidRDefault="00D64741" w:rsidP="00C03118">
      <w:pPr>
        <w:spacing w:line="480" w:lineRule="auto"/>
        <w:rPr>
          <w:sz w:val="24"/>
        </w:rPr>
      </w:pPr>
      <w:r w:rsidRPr="00C03118">
        <w:rPr>
          <w:sz w:val="24"/>
        </w:rPr>
        <w:t xml:space="preserve">Vale la pena resaltar que el fuero establecido en el numeral 5º, tal y como ocurría con el contemplado en el numeral 7º del artículo 23 CPC, es concurrente  con otros fueros, como ocurre, por ejemplo con el contractual establecido en el numeral 3º del artículo 28. Así, si se </w:t>
      </w:r>
      <w:r w:rsidRPr="00C03118">
        <w:rPr>
          <w:sz w:val="24"/>
        </w:rPr>
        <w:lastRenderedPageBreak/>
        <w:t>promueve demanda en contra de una sociedad comercial aduciendo el incumplimiento de un contrato,  los fueros concurrentes serían (i) el del domicilio principal de la sociedad; (ii) el del lugar en donde esté la sucursal o agencia, si el contrato versa sobre aquella o ésta; (iii) el del lugar de cumplimiento de cualquiera de las obligaciones surgidas del contrato.</w:t>
      </w:r>
    </w:p>
    <w:p w:rsidR="00D64741" w:rsidRPr="00C03118" w:rsidRDefault="00D64741" w:rsidP="00C03118">
      <w:pPr>
        <w:spacing w:line="480" w:lineRule="auto"/>
        <w:rPr>
          <w:sz w:val="24"/>
        </w:rPr>
      </w:pPr>
      <w:r w:rsidRPr="00C03118">
        <w:rPr>
          <w:sz w:val="24"/>
        </w:rPr>
        <w:t>d. El llamado fuero extracontractual es desarrollado  por el numeral  6º del artículo  28 CGP, en virtud  del cual cuando  en la demanda  se predique este tipo de responsabilidad,  además del domicilio del demandado,  será también competente el juez del lugar en donde ocurrieron  los hechos que dieron origen al proceso.</w:t>
      </w:r>
    </w:p>
    <w:p w:rsidR="00D64741" w:rsidRPr="00C03118" w:rsidRDefault="00D64741" w:rsidP="00C03118">
      <w:pPr>
        <w:spacing w:line="480" w:lineRule="auto"/>
        <w:rPr>
          <w:sz w:val="24"/>
        </w:rPr>
      </w:pPr>
      <w:r w:rsidRPr="00C03118">
        <w:rPr>
          <w:sz w:val="24"/>
        </w:rPr>
        <w:t>e. El fuero real aparece consignado  en el numeral  7º del artículo  28 CGP</w:t>
      </w:r>
      <w:r w:rsidR="00773D67" w:rsidRPr="00C03118">
        <w:rPr>
          <w:sz w:val="24"/>
        </w:rPr>
        <w:t xml:space="preserve"> </w:t>
      </w:r>
      <w:r w:rsidRPr="00C03118">
        <w:rPr>
          <w:sz w:val="24"/>
        </w:rPr>
        <w:t xml:space="preserve">y en virtud del mismo cuando  en un proceso se ejerza un derecho  real la competencia  privativa radicará en el juez del lugar en donde se hallen ubicados los bienes y si éstos se encuentran en distintas circunscripciones territoriales,  el de cualquiera de ellos a elección del demandante.  Así por ejemplo, tratándose  de la pretensión  reivindicatoria  o de un proceso ejecutivo hipotecario17,  la demanda  se deberá  radicar  exclusivamente  ante el juez del lugar en donde se encuentre  el bien objeto del proceso. Esta misma regla se aplica en los procesos divisorios, de deslinde y amojonamiento, expropiación, servidumbres, posesorios de cualquier naturaleza, restitución  de </w:t>
      </w:r>
      <w:r w:rsidRPr="00C03118">
        <w:rPr>
          <w:sz w:val="24"/>
        </w:rPr>
        <w:lastRenderedPageBreak/>
        <w:t>tenencia, declaración de pertenencia  y de bienes vacantes y mostrencos.</w:t>
      </w:r>
    </w:p>
    <w:p w:rsidR="00D64741" w:rsidRPr="00C03118" w:rsidRDefault="00D64741" w:rsidP="00C03118">
      <w:pPr>
        <w:spacing w:line="480" w:lineRule="auto"/>
        <w:rPr>
          <w:sz w:val="24"/>
        </w:rPr>
      </w:pPr>
      <w:r w:rsidRPr="00C03118">
        <w:rPr>
          <w:sz w:val="24"/>
        </w:rPr>
        <w:t>En consecuencia,  a diferencia  de lo que ocurría  con el numeral  9º del artículo 23 CPC, que contemplaba fueros concurrentes cuando se ejercían derechos reales, la nueva disposición es clara en indicar que cuando se trata de procesos en los que se ventilan pretensiones relacionadas con derechos reales, la competencia de manera privativa le corresponde  al juez del lugar en donde se hallan ubicados los bienes. En este sentido, por ejemplo, si se aplica la regla del Código de Procedimiento Civil, un proceso  ejecutivo con título  hipotecario  podría  promoverse  ante el juez del domicilio del demandado  o ante el juez del lugar en donde se halla el bien gravado con hipoteca, a elección del demandante; al aplicar la nueva disposición, dicho proceso solamente se podrá promover ante el juez que corresponda al de la ubicación del bien, lo cual resulta más lógico y coherente  pues precisamente el proceso se encuentra  directamente relacionado con el ejercicio de un derecho real sobre dicho bien. Igual ocurrirá  ahora con el proceso reivindicatorio, que en vigencia del Código de Procedimiento Civil, por el factor territorial era competente además del juez del domicilio del demandado, el del lugar de ubicación del bien, a elección del demandante.</w:t>
      </w:r>
    </w:p>
    <w:p w:rsidR="00D64741" w:rsidRPr="00C03118" w:rsidRDefault="00D64741" w:rsidP="00C03118">
      <w:pPr>
        <w:spacing w:line="480" w:lineRule="auto"/>
        <w:rPr>
          <w:sz w:val="24"/>
        </w:rPr>
      </w:pPr>
      <w:r w:rsidRPr="00C03118">
        <w:rPr>
          <w:sz w:val="24"/>
        </w:rPr>
        <w:t xml:space="preserve">f. Para los procesos de competencia desleal y para los relacionados con propiedad intelectual (propiedad industrial, derechos de autor y </w:t>
      </w:r>
      <w:r w:rsidRPr="00C03118">
        <w:rPr>
          <w:sz w:val="24"/>
        </w:rPr>
        <w:lastRenderedPageBreak/>
        <w:t>derechos de obtentor  de variedades vegetales), el numeral 11 consagra una interesante concurrencia de fueros, así: Además del domicilio del demandado, el proceso se puede promover ante el juez del lugar en donde se hubiese violado el derecho de propiedad intelectual o cometido el acto constitutivo de competencia desleal; si el acto se cometió en el extranjero la demanda se puede promover  ante el juez del lugar en donde se encuentra  surtiendo  efectos dicho acto de competencia  desleal o de vulneración  de los derechos  de propiedad intelectual. Finalmente, podrá también presentarse la demanda ante el juez del lugar en donde funcione la empresa, local, establecimiento y, en general, en donde ejerza su actividad el demandado, si la conducta de competencia  desleal o violatoria de los derechos de propiedad intelectual está relacionada con alguno de estos lugares.</w:t>
      </w:r>
    </w:p>
    <w:p w:rsidR="00D64741" w:rsidRPr="00C03118" w:rsidRDefault="00D64741" w:rsidP="00C03118">
      <w:pPr>
        <w:spacing w:line="480" w:lineRule="auto"/>
        <w:rPr>
          <w:sz w:val="24"/>
        </w:rPr>
      </w:pPr>
      <w:r w:rsidRPr="00C03118">
        <w:rPr>
          <w:sz w:val="24"/>
        </w:rPr>
        <w:t xml:space="preserve">En consecuencia  si, por  ejemplo,  en  un  establecimiento  de  comercio ubicado en Bogotá, de propiedad  de una persona  domiciliada en Tunja, se distribuyen productos  que se venden en Barranquilla y Cartagena, con los cuales se viola un derecho marcario, la demanda podría promoverse, a escogencia del demandante,  ante el juez civil del circuito de (i) Tunja, que corresponde  al fuero general, es decir, al domicilio del demandado;  (ii) Bogotá, que es lugar en donde funciona el establecimiento  de comercio vinculado directamente con el acto </w:t>
      </w:r>
      <w:r w:rsidRPr="00C03118">
        <w:rPr>
          <w:sz w:val="24"/>
        </w:rPr>
        <w:lastRenderedPageBreak/>
        <w:t>violatorio del derecho marcario; (iii) Barranquilla o Cartagena, que son los lugares en donde se está cometiendo la infracción.</w:t>
      </w:r>
    </w:p>
    <w:p w:rsidR="00D64741" w:rsidRPr="00C03118" w:rsidRDefault="00D64741" w:rsidP="00C03118">
      <w:pPr>
        <w:spacing w:line="480" w:lineRule="auto"/>
        <w:rPr>
          <w:sz w:val="24"/>
        </w:rPr>
      </w:pPr>
      <w:r w:rsidRPr="00C03118">
        <w:rPr>
          <w:sz w:val="24"/>
        </w:rPr>
        <w:t>g. El numeral  12 desarrolla el fuero sucesoral, también  conocido como hereditario,  en virtud del cual el proceso de sucesión será conocido por el juez del último domicilio del causante y si al morir éste tenía varios, el que corresponda al asiento principal de sus negocios.</w:t>
      </w:r>
    </w:p>
    <w:p w:rsidR="00D64741" w:rsidRPr="00C03118" w:rsidRDefault="00D64741" w:rsidP="00C03118">
      <w:pPr>
        <w:spacing w:line="480" w:lineRule="auto"/>
        <w:rPr>
          <w:sz w:val="24"/>
        </w:rPr>
      </w:pPr>
      <w:r w:rsidRPr="00C03118">
        <w:rPr>
          <w:sz w:val="24"/>
        </w:rPr>
        <w:t>h. Finalmente, para la práctica de las pruebas ahora apellidadas extraprocesales, llamadas por el Código de Procedimiento Civil pruebas anticipadas, al igual que para  la práctica  de requerimientos y diligencias varias, se</w:t>
      </w:r>
      <w:r w:rsidR="00773D67" w:rsidRPr="00C03118">
        <w:rPr>
          <w:sz w:val="24"/>
        </w:rPr>
        <w:t xml:space="preserve"> </w:t>
      </w:r>
      <w:r w:rsidRPr="00C03118">
        <w:rPr>
          <w:sz w:val="24"/>
        </w:rPr>
        <w:t>dispone por el numeral  14 que la competencia  se radica ante el juez del</w:t>
      </w:r>
      <w:r w:rsidR="00773D67" w:rsidRPr="00C03118">
        <w:rPr>
          <w:sz w:val="24"/>
        </w:rPr>
        <w:t xml:space="preserve"> </w:t>
      </w:r>
      <w:r w:rsidRPr="00C03118">
        <w:rPr>
          <w:sz w:val="24"/>
        </w:rPr>
        <w:t>lugar donde deba practicarse  la prueba o del domicilio de la persona con quien deba cumplirse el acto, según sea el caso.</w:t>
      </w:r>
    </w:p>
    <w:p w:rsidR="00D64741" w:rsidRPr="00C03118" w:rsidRDefault="00D64741" w:rsidP="00C03118">
      <w:pPr>
        <w:spacing w:line="480" w:lineRule="auto"/>
        <w:rPr>
          <w:sz w:val="24"/>
        </w:rPr>
      </w:pPr>
      <w:r w:rsidRPr="00C03118">
        <w:rPr>
          <w:sz w:val="24"/>
        </w:rPr>
        <w:t xml:space="preserve">Esto significa que en materia de pruebas extraprocesales, cuya competencia es del juez civil municipal o del circuito a elección del peticionario, debe tenerse en cuenta, por ejemplo, que si se trata de interrogatorio de parte (art. 184), declaración sobre la autoría, alcance y contenido del documento (art. 185) y testimonio (arts. 187 y 188), éstas deben surtirse ante el juez del domicilio de la persona que va a absolver el interrogatorio o va a rendir la declaración; si se trata de exhibición de documentos  (art. 186) será competente el juez del domicilio de la persona que va a exhibir (para lo cual debe tenerse en </w:t>
      </w:r>
      <w:r w:rsidRPr="00C03118">
        <w:rPr>
          <w:sz w:val="24"/>
        </w:rPr>
        <w:lastRenderedPageBreak/>
        <w:t>cuenta lo previsto en el artículo 66 CCO) y cuando la prueba es la inspección judicial, ésta se practicará por el juez del lugar en donde estén ubicados los bienes o personas materia de inspección (art. 189).</w:t>
      </w:r>
    </w:p>
    <w:p w:rsidR="00D64741" w:rsidRPr="00C03118" w:rsidRDefault="00D64741" w:rsidP="00C03118">
      <w:pPr>
        <w:pStyle w:val="Ttulo2"/>
      </w:pPr>
      <w:bookmarkStart w:id="8" w:name="_Toc76155631"/>
      <w:r w:rsidRPr="00C03118">
        <w:t>Fuero de atracción</w:t>
      </w:r>
      <w:bookmarkEnd w:id="8"/>
    </w:p>
    <w:p w:rsidR="00D64741" w:rsidRPr="00C03118" w:rsidRDefault="00D64741" w:rsidP="00C03118">
      <w:pPr>
        <w:spacing w:line="480" w:lineRule="auto"/>
        <w:rPr>
          <w:sz w:val="24"/>
        </w:rPr>
      </w:pPr>
      <w:r w:rsidRPr="00C03118">
        <w:rPr>
          <w:sz w:val="24"/>
        </w:rPr>
        <w:t>El fuero de atracción, también conocido como factor de conexidad, se desarrolla por el artículo 23 CGP, a diferencia del Código de Procedimiento Civil, estatuto que si bien es cierto contenía disposiciones al respecto, no dedicaba una norma concreta a propósito. Este factor permite asignar la competencia para conocer  de un determinado asunto  con base en la competencia  previamente  determinada para otro; expresado  en otras  palabras, el fuero de atracción  permite  que un asunto asignado a un determinado juez, como su nombre  lo indica, absorba los demás procesos que en un específico asunto deban promoverse con posterioridad.</w:t>
      </w:r>
    </w:p>
    <w:p w:rsidR="00D64741" w:rsidRPr="00C03118" w:rsidRDefault="00D64741" w:rsidP="00C03118">
      <w:pPr>
        <w:spacing w:line="480" w:lineRule="auto"/>
        <w:rPr>
          <w:sz w:val="24"/>
        </w:rPr>
      </w:pPr>
      <w:r w:rsidRPr="00C03118">
        <w:rPr>
          <w:sz w:val="24"/>
        </w:rPr>
        <w:t xml:space="preserve">El primer  caso regulado  en la norma  en comento,  es el atinente  a los procesos de sucesión de mayor cuantía que, como bien se sabe, conocen en primera instancia los jueces de familia (art. 22 num. 9º CGP). En este caso, el juez que conoce del proceso de sucesión, también conocerá, sin necesidad de reparto,  de los procesos  de “nulidad  y validez del testamento,  reforma del testamento,  desheredamiento, indignidad  o incapacidad  para  suceder, petición de herencia, reivindicación por el heredero sobre cosas hereditarias, controversias  </w:t>
      </w:r>
      <w:r w:rsidRPr="00C03118">
        <w:rPr>
          <w:sz w:val="24"/>
        </w:rPr>
        <w:lastRenderedPageBreak/>
        <w:t>sobre derechos  a la sucesión por testamento o abintestato  o por incapacidad de los asignatarios, lo mismo que de los procesos sobre el régimen  económico  del matrimonio y la sociedad patrimonial  entre  compañeros  permanentes, relativos a la rescisión  de la partición  por  lesión y nulidad de la misma, las acciones que resulten de la caducidad, inexistencia o nulidad de las capitulaciones matrimoniales,  la revocación de la donación por causa del matrimonio,  el litigio sobre la propiedad de bienes, cuando se disputa  si estos son propios  o de la sociedad</w:t>
      </w:r>
      <w:r w:rsidR="00773D67" w:rsidRPr="00C03118">
        <w:rPr>
          <w:sz w:val="24"/>
        </w:rPr>
        <w:t xml:space="preserve"> conyugal, y las controversias </w:t>
      </w:r>
      <w:r w:rsidRPr="00C03118">
        <w:rPr>
          <w:sz w:val="24"/>
        </w:rPr>
        <w:t>sobre subrogación de bienes o las compensaci</w:t>
      </w:r>
      <w:r w:rsidR="00773D67" w:rsidRPr="00C03118">
        <w:rPr>
          <w:sz w:val="24"/>
        </w:rPr>
        <w:t xml:space="preserve">ones respecto de los cónyuges y </w:t>
      </w:r>
      <w:r w:rsidRPr="00C03118">
        <w:rPr>
          <w:sz w:val="24"/>
        </w:rPr>
        <w:t>a cargo de la sociedad conyugal o a favor de esta o a cargo de aquellos en caso de disolución y liquidación de la sociedad conyugal o sociedad patrimonial entre compañeros permanentes.”</w:t>
      </w:r>
    </w:p>
    <w:p w:rsidR="00D64741" w:rsidRPr="00C03118" w:rsidRDefault="00D64741" w:rsidP="00C03118">
      <w:pPr>
        <w:spacing w:line="480" w:lineRule="auto"/>
        <w:rPr>
          <w:sz w:val="24"/>
        </w:rPr>
      </w:pPr>
      <w:r w:rsidRPr="00C03118">
        <w:rPr>
          <w:sz w:val="24"/>
        </w:rPr>
        <w:t>Un ejemplo puede explicar mejor la disposición: Ante el Juez 8º de Familia de Bogotá se adelanta  el juicio de sucesión de Pedro, en el cual han sido reconocidos  María  y Jorge como  herederos.  María  quiere  promover proceso declarativo de indignidad para suceder (arts. 1025 a 1029 C.C.) en contra  de Jorge, por lo cual, en aplicación de</w:t>
      </w:r>
      <w:r w:rsidR="00773D67" w:rsidRPr="00C03118">
        <w:rPr>
          <w:sz w:val="24"/>
        </w:rPr>
        <w:t xml:space="preserve"> lo previsto por el artículo 23 </w:t>
      </w:r>
      <w:r w:rsidRPr="00C03118">
        <w:rPr>
          <w:sz w:val="24"/>
        </w:rPr>
        <w:t xml:space="preserve">CGP, sin necesidad  de reparto  podrá  promover  la demanda  directamente ante el Juez 8º de Familia, quien conocerá de ambos procesos, desde luego, en expedientes  separados. Lo que busca esta disposición es que el juez de familia que conoce de la sucesión sea </w:t>
      </w:r>
      <w:r w:rsidRPr="00C03118">
        <w:rPr>
          <w:sz w:val="24"/>
        </w:rPr>
        <w:lastRenderedPageBreak/>
        <w:t>el mismo que conozca de los procesos que menciona  la norma  en cita, habida cuenta  que éstos tienen  incidencia directa en la liquidación de la herencia. Ahora bien, este factor no opera si el proceso de sucesión lo conoce un juez civil municipal, es decir, si se trata de sucesiones de mínima y menor  cuantía, habida cuenta que los procesos mencionados por el artículo 23 CGP siempre son de competencia del juez de familia en virtud de lo previsto por los artículos 21 y 22 del mismo estatuto. En nuestro  ejemplo, si del proceso de sucesión de Pedro conoce el Juez 10º Civil Municipal de Bogotá, suponiendo fuera una sucesión de menor cuantía, el proceso de indignidad tendría que promoverlo María ante el Juez de Familia por así disponerlo el artículo 22, num. 11º CGP, lo cual hace imposible la operatividad del fuero o factor de atracción.</w:t>
      </w:r>
    </w:p>
    <w:p w:rsidR="00D64741" w:rsidRPr="00C03118" w:rsidRDefault="00D64741" w:rsidP="00C03118">
      <w:pPr>
        <w:spacing w:line="480" w:lineRule="auto"/>
        <w:rPr>
          <w:sz w:val="24"/>
        </w:rPr>
      </w:pPr>
      <w:r w:rsidRPr="00C03118">
        <w:rPr>
          <w:sz w:val="24"/>
        </w:rPr>
        <w:t xml:space="preserve">El segundo caso que contempla  la norma  es el relacionado  con la práctica de medidas  cautelares  extraprocesales  en los casos autorizados  por la ley, como ocurre, por ejemplo, en los asuntos  de competencia  desleal y de propiedad intelectual (art. 589 CGP). Estas medidas cautelares (llamadas por la doctrina como proceso cautelar autónomo)  se solicitarán ante el juez que fuere competente para conocer  del proceso  declarativo  en el cual estarían llamadas a tener  efectividad las citadas cautelas. En consecuencia,  si, por ejemplo, Juan quiere solicitar una medida cautelar extraprocesal  en contra de Pedro, quien sin autorización alguna está comercializando productos violando </w:t>
      </w:r>
      <w:r w:rsidRPr="00C03118">
        <w:rPr>
          <w:sz w:val="24"/>
        </w:rPr>
        <w:lastRenderedPageBreak/>
        <w:t>un derecho marcario  de propiedad  del primero,  la medida deberá solicitarse ante el Juez Civil del Circuito, toda vez que éste es el competente funcionalmente para conocer del proceso de infracción de derechos de propiedad industrial  en virtud de lo señalado por el artículo 20 num. 2º CGP, debiendo observarse para efectos de la competencia territorial la disposición contenida  en el artículo 28 num. 11 Ibídem. Practicada  la medida cautelar y sin necesidad de reparto,  Juan podrá presentar  la demanda  de infracción</w:t>
      </w:r>
      <w:r w:rsidR="00773D67" w:rsidRPr="00C03118">
        <w:rPr>
          <w:sz w:val="24"/>
        </w:rPr>
        <w:t xml:space="preserve"> </w:t>
      </w:r>
      <w:r w:rsidRPr="00C03118">
        <w:rPr>
          <w:sz w:val="24"/>
        </w:rPr>
        <w:t>ante el mismo juez civil del circuito que conoció de la cautela y ésta tendrá</w:t>
      </w:r>
      <w:r w:rsidR="00773D67" w:rsidRPr="00C03118">
        <w:rPr>
          <w:sz w:val="24"/>
        </w:rPr>
        <w:t xml:space="preserve"> </w:t>
      </w:r>
      <w:r w:rsidRPr="00C03118">
        <w:rPr>
          <w:sz w:val="24"/>
        </w:rPr>
        <w:t>plena vigencia en el referido proceso. Ahora bien, el término para presentar la demanda  luego de practicada  la medida cautelar extraprocesal  y con ello lograr que en este proceso aquella tenga vigencia y efectividad es de veinte (20) días contados desde su práctica; si la demanda respectiva, que en nuestro ejemplo es de infracción  de derechos  de propiedad  industrial,  se presenta en el referido  término,  la medida  cautelar,  como se dijo, se incorporará a dicho proceso y surtirá  plenos efectos al interior  del mismo, pero si vence el término sin que la demanda se presente, la medida, entonces, se levantará con la consecuente  condena en costas y perjuicios, teniendo  el afectado con su práctica el derecho a pedir la liquidación de aquellos mediante el trámite contemplado en el artículo 283 CGP.</w:t>
      </w:r>
    </w:p>
    <w:p w:rsidR="00D64741" w:rsidRPr="00C03118" w:rsidRDefault="00D64741" w:rsidP="00C03118">
      <w:pPr>
        <w:spacing w:line="480" w:lineRule="auto"/>
        <w:rPr>
          <w:sz w:val="24"/>
        </w:rPr>
      </w:pPr>
      <w:r w:rsidRPr="00C03118">
        <w:rPr>
          <w:sz w:val="24"/>
        </w:rPr>
        <w:lastRenderedPageBreak/>
        <w:t>Esta modalidad  del fuero o factor de atracción  persigue que el juez que debe  practicar  las cautelas  extraprocesales  en  los casos en  que  la ley lo permita, sea el mismo juez competente para conocer del posterior procesos declarativo en donde la cautela previa está llamada a surtir efectos, lo cual indudablemente contribuye  a la economía procesal y a la concentración de dichas actuaciones en un solo juez.</w:t>
      </w:r>
    </w:p>
    <w:p w:rsidR="00D64741" w:rsidRPr="00C03118" w:rsidRDefault="00D64741" w:rsidP="00C03118">
      <w:pPr>
        <w:spacing w:line="480" w:lineRule="auto"/>
        <w:rPr>
          <w:sz w:val="24"/>
        </w:rPr>
      </w:pPr>
      <w:r w:rsidRPr="00C03118">
        <w:rPr>
          <w:sz w:val="24"/>
        </w:rPr>
        <w:t>A este propósito, resulta bastante interesante  la disposición contenida en el artículo 589 CGP, norma  que expresamente  autoriza  que en el curso de pruebas extraprocesales en asuntos relacionados con violaciones a la propiedad intelectual19, competencia  desleal20  y en aquellos casos en que la ley lo</w:t>
      </w:r>
      <w:r w:rsidR="00773D67" w:rsidRPr="00C03118">
        <w:rPr>
          <w:sz w:val="24"/>
        </w:rPr>
        <w:t xml:space="preserve"> </w:t>
      </w:r>
      <w:r w:rsidRPr="00C03118">
        <w:rPr>
          <w:sz w:val="24"/>
        </w:rPr>
        <w:t xml:space="preserve">prevea, puedan decretarse medidas cautelares extraprocesales21. Esta norma, desarrollo  del principio  de economía  procesal  y, ante  todo,  de elemental lógica, como lo deben ser las normas  de este raigambre, ya que el derecho procesal es ante todo lógica y sentido común, permite que en aquellos casos en que durante  la práctica  de una  prueba  extraprocesal  se descubra,  por ejemplo, una infracción a derechos de propiedad  intelectual, en esa misma diligencia, a petición de parte, se decrete y practique allí mismo una medida cautelar igualmente de naturaleza extraprocesal. Por ejemplo, se solicita una inspección  judicial extraprocesal  a un establecimiento  de comercio  con el propósito  de verificar si en éste comercializan ilegalmente productos  protegidos con una patente; en el </w:t>
      </w:r>
      <w:r w:rsidRPr="00C03118">
        <w:rPr>
          <w:sz w:val="24"/>
        </w:rPr>
        <w:lastRenderedPageBreak/>
        <w:t>curso de la inspección judicial efectivamente el juez verifica la ocurrencia de la infracción, por lo cual podría el peticionario de la prueba solicitar, en esa misma diligencia al juez que la está adelantando, el decreto y práctica de una medida cautelar extraprocesal,  por ejemplo, de aprehensión  de los productos  que se están comercializando  en desmedro de los derechos de propiedad industrial.</w:t>
      </w:r>
    </w:p>
    <w:p w:rsidR="00D64741" w:rsidRPr="00C03118" w:rsidRDefault="00D64741" w:rsidP="00C03118">
      <w:pPr>
        <w:spacing w:line="480" w:lineRule="auto"/>
        <w:rPr>
          <w:sz w:val="24"/>
        </w:rPr>
      </w:pPr>
      <w:r w:rsidRPr="00C03118">
        <w:rPr>
          <w:sz w:val="24"/>
        </w:rPr>
        <w:t xml:space="preserve">La disposición establece que, en estos eventos, “el juez las decretará cuando el peticionario acredite el cumplimiento de los requisitos exigidos por dicha ley”, es decir, para estos casos, en la misma diligencia, el peticionario le debe demostrar al juez que reúne los requisitos que las leyes especiales exigen para tal efecto, que generalmente  apuntan, entre otros, a la titularidad del derecho y a la existencia de la infracción (fomus bonis iuris), así como la necesidad, inminencia  y urgencia de la medida (periculum  in mora). Adicionalmente, si la ley exige prestar caución para el decreto y práctica de la medida, como generalmente  así ocurre, el juez practicará la medida en la misma diligencia y fijará el monto de la caución que el peticionario de la misma deberá prestar en el término que en la misma providencia el juez le conceda. Obsérvese que en estos casos el juez, por la inminencia del caso y al encontrarse en la diligencia, decreta y practica la medida cautelar solicitada sin que el peticionario  haya todavía otorgado  la caución exigida en la ley; en la misma providencia que ordena el decreto y la práctica de la cautela, </w:t>
      </w:r>
      <w:r w:rsidRPr="00C03118">
        <w:rPr>
          <w:sz w:val="24"/>
        </w:rPr>
        <w:lastRenderedPageBreak/>
        <w:t>señala el monto de la caución que debe prestar el solicitante de ésta y le fija un término para tal efecto. Dispone</w:t>
      </w:r>
      <w:r w:rsidR="003D446E" w:rsidRPr="00C03118">
        <w:rPr>
          <w:sz w:val="24"/>
        </w:rPr>
        <w:t xml:space="preserve"> </w:t>
      </w:r>
      <w:r w:rsidRPr="00C03118">
        <w:rPr>
          <w:sz w:val="24"/>
        </w:rPr>
        <w:t>la norma  que “si la caución no se constituye  oportunam</w:t>
      </w:r>
      <w:r w:rsidR="003D446E" w:rsidRPr="00C03118">
        <w:rPr>
          <w:sz w:val="24"/>
        </w:rPr>
        <w:t xml:space="preserve">ente, el solicitante </w:t>
      </w:r>
      <w:r w:rsidRPr="00C03118">
        <w:rPr>
          <w:sz w:val="24"/>
        </w:rPr>
        <w:t>deberá pagar los daños y perjuicios que se hubieren causado, multa de hasta cien salarios mínimos legales mensuales vigentes (100 smlmv), y la medida cautelar se levantará. Mientras  no sea prestada  la caución, el solicitante no podrá desistir de la medida cautelar, salvo que el perjudicado con la misma lo acepte.”</w:t>
      </w:r>
    </w:p>
    <w:p w:rsidR="00C03118" w:rsidRPr="00C03118" w:rsidRDefault="00C03118" w:rsidP="00C03118">
      <w:pPr>
        <w:spacing w:line="480" w:lineRule="auto"/>
        <w:jc w:val="left"/>
        <w:rPr>
          <w:rFonts w:eastAsiaTheme="majorEastAsia" w:cstheme="majorBidi"/>
          <w:b/>
          <w:bCs/>
          <w:sz w:val="28"/>
          <w:szCs w:val="26"/>
        </w:rPr>
      </w:pPr>
      <w:r w:rsidRPr="00C03118">
        <w:br w:type="page"/>
      </w:r>
    </w:p>
    <w:p w:rsidR="00D64741" w:rsidRPr="00C03118" w:rsidRDefault="00D64741" w:rsidP="00C03118">
      <w:pPr>
        <w:pStyle w:val="Ttulo1"/>
        <w:numPr>
          <w:ilvl w:val="0"/>
          <w:numId w:val="2"/>
        </w:numPr>
        <w:spacing w:line="480" w:lineRule="auto"/>
      </w:pPr>
      <w:bookmarkStart w:id="9" w:name="_Toc76155632"/>
      <w:r w:rsidRPr="00C03118">
        <w:lastRenderedPageBreak/>
        <w:t>Alteración de la competencia</w:t>
      </w:r>
      <w:bookmarkEnd w:id="9"/>
    </w:p>
    <w:p w:rsidR="00C03118" w:rsidRPr="00C03118" w:rsidRDefault="00C03118" w:rsidP="00C03118">
      <w:pPr>
        <w:spacing w:line="480" w:lineRule="auto"/>
        <w:ind w:left="360"/>
      </w:pPr>
    </w:p>
    <w:p w:rsidR="00D64741" w:rsidRPr="00C03118" w:rsidRDefault="00D64741" w:rsidP="00C03118">
      <w:pPr>
        <w:spacing w:line="480" w:lineRule="auto"/>
        <w:rPr>
          <w:sz w:val="24"/>
        </w:rPr>
      </w:pPr>
      <w:r w:rsidRPr="00C03118">
        <w:rPr>
          <w:sz w:val="24"/>
        </w:rPr>
        <w:t>En virtud de una regla conocida como “perpetuatio iurisdictionis”, en nuestro derecho  procesal civil la competencia  asignada a un juez en virtud  de la aplicación de los factores de atribución  de la misma consagrados  en la ley, está llamada a perpetuarse,  es decir, la competencia  no se modifica por circunstancias sobreviniente a menos que la misma ley consagre excepciones al efecto, con lo cual se busca darle seguridad y estabilidad al proceso.</w:t>
      </w:r>
    </w:p>
    <w:p w:rsidR="00D64741" w:rsidRPr="00C03118" w:rsidRDefault="00D64741" w:rsidP="00C03118">
      <w:pPr>
        <w:spacing w:line="480" w:lineRule="auto"/>
        <w:rPr>
          <w:sz w:val="24"/>
        </w:rPr>
      </w:pPr>
      <w:r w:rsidRPr="00C03118">
        <w:rPr>
          <w:sz w:val="24"/>
        </w:rPr>
        <w:t>El artículo 27 CGP consagra los siguientes casos en los cuales se produce, en forma excepcional, la alteración  de la competencia,  eventos en los que lo actuado antes de la alteración conservará validez y debe el juez remitir el expediente al que resulte competente:</w:t>
      </w:r>
    </w:p>
    <w:p w:rsidR="00D64741" w:rsidRPr="00C03118" w:rsidRDefault="00D64741" w:rsidP="00C03118">
      <w:pPr>
        <w:spacing w:line="480" w:lineRule="auto"/>
        <w:rPr>
          <w:sz w:val="24"/>
        </w:rPr>
      </w:pPr>
      <w:r w:rsidRPr="00C03118">
        <w:rPr>
          <w:sz w:val="24"/>
        </w:rPr>
        <w:t>a. Cuando en un proceso interviene o deja ser parte un agente diplomático acreditado ante el Gobierno o un Estado extr</w:t>
      </w:r>
      <w:r w:rsidR="003D446E" w:rsidRPr="00C03118">
        <w:rPr>
          <w:sz w:val="24"/>
        </w:rPr>
        <w:t>anjero, caso en el cual la com</w:t>
      </w:r>
      <w:r w:rsidRPr="00C03118">
        <w:rPr>
          <w:sz w:val="24"/>
        </w:rPr>
        <w:t>petencia se modificará y del proceso conoce</w:t>
      </w:r>
      <w:r w:rsidR="003D446E" w:rsidRPr="00C03118">
        <w:rPr>
          <w:sz w:val="24"/>
        </w:rPr>
        <w:t xml:space="preserve">rá la Sala de Casación Civil de </w:t>
      </w:r>
      <w:r w:rsidRPr="00C03118">
        <w:rPr>
          <w:sz w:val="24"/>
        </w:rPr>
        <w:t>la Corte Suprema de Justicia o dejará de conocerlo, según sea el caso.</w:t>
      </w:r>
    </w:p>
    <w:p w:rsidR="00D64741" w:rsidRPr="00C03118" w:rsidRDefault="00D64741" w:rsidP="00C03118">
      <w:pPr>
        <w:spacing w:line="480" w:lineRule="auto"/>
        <w:rPr>
          <w:sz w:val="24"/>
        </w:rPr>
      </w:pPr>
      <w:r w:rsidRPr="00C03118">
        <w:rPr>
          <w:sz w:val="24"/>
        </w:rPr>
        <w:t xml:space="preserve">b. Cuando en un proceso contencioso que por la cuantía conoce un juez civil municipal, la competencia  se modificará cuando se formule demanda de reconvención cuyas pretensiones sean de mayor cuantía, </w:t>
      </w:r>
      <w:r w:rsidRPr="00C03118">
        <w:rPr>
          <w:sz w:val="24"/>
        </w:rPr>
        <w:lastRenderedPageBreak/>
        <w:t>cuando se reforme la demanda o en los casos de acumulación de procesos o de demandas.</w:t>
      </w:r>
    </w:p>
    <w:p w:rsidR="00D64741" w:rsidRPr="00C03118" w:rsidRDefault="00D64741" w:rsidP="00C03118">
      <w:pPr>
        <w:spacing w:line="480" w:lineRule="auto"/>
        <w:rPr>
          <w:sz w:val="24"/>
        </w:rPr>
      </w:pPr>
      <w:r w:rsidRPr="00C03118">
        <w:rPr>
          <w:sz w:val="24"/>
        </w:rPr>
        <w:t>Así por ejemplo, supongamos que ante un juez civil municipal se tramita un proceso en el cual en la demanda  inicial se pretende  el pago de una indemnización   de  perjuicios  por  incumplimiento  contractual,   que  se estiman en $60.000.000,oo. El demandado en forma oportuna  formula demanda de reconvención en la cual solicita se declare que quien incumplió el contrato  fue el demandante inicial y pide, consecuencialmente, el pago de una indemnización  por $100.000.000,oo. En este caso las súplicas de la reconvención  son de mayor cuantía, a diferencia de la demanda inicial cuya cuantía era menor, por lo cual el juez civil municipal no podrá conocer  de la reconvención  y se generará,  entonces,  una modificación  de la competencia,  debiendo  remitirse  el proceso  al juez civil del circuito, quien se pronunciará sobre la admisibilidad de la reconvención  y seguirá conociendo  del proceso, esto es, tanto  de la demanda  inicial como de la contrademanda, aunque, claro está, lo actuado ante el juez civil municipal conservará plena validez.</w:t>
      </w:r>
    </w:p>
    <w:p w:rsidR="00D64741" w:rsidRPr="00C03118" w:rsidRDefault="00D64741" w:rsidP="00C03118">
      <w:pPr>
        <w:spacing w:line="480" w:lineRule="auto"/>
        <w:rPr>
          <w:sz w:val="24"/>
        </w:rPr>
      </w:pPr>
      <w:r w:rsidRPr="00C03118">
        <w:rPr>
          <w:sz w:val="24"/>
        </w:rPr>
        <w:t xml:space="preserve">Caso novedoso es el de la reforma  de la demanda,  que en el Código de Procedimiento Civil no genera  alteración  de la competencia,  pero  que ahora por expresa disposición legal, cuando el demandante modifique el valor de sus pretensiones por vía de reforma y la cuantía pase de ser </w:t>
      </w:r>
      <w:r w:rsidRPr="00C03118">
        <w:rPr>
          <w:sz w:val="24"/>
        </w:rPr>
        <w:lastRenderedPageBreak/>
        <w:t>menor a mayor, igualmente  se alterará  la competencia  y el proceso  deberá  ser remitido  por el juez civil municipal al civil del circuito, quien asumirá el conocimiento  del proceso, caso en el cual, como en todos los de alteración de la competencia, lo actuado ante el juez civil municipal es válido. Ahora, la norma no contempla la hipótesis contraria, esto es, que formulada una demanda  de mayor cuantía ante el juez civil del circuito, el demandante reforme su demanda y reduzca el monto  de sus pretensiones  convirtiéndolas a menor cuantía, evento en el cual la competencia no se alterará por no estar previsto en la disposición y del proceso seguirá conociendo el juez del circuito no obstante la reforma de la demanda.</w:t>
      </w:r>
    </w:p>
    <w:p w:rsidR="00D64741" w:rsidRPr="00C03118" w:rsidRDefault="00D64741" w:rsidP="00C03118">
      <w:pPr>
        <w:spacing w:line="480" w:lineRule="auto"/>
        <w:rPr>
          <w:sz w:val="24"/>
        </w:rPr>
      </w:pPr>
      <w:r w:rsidRPr="00C03118">
        <w:rPr>
          <w:sz w:val="24"/>
        </w:rPr>
        <w:t xml:space="preserve">La alteración también se presenta cuando en un proceso que se adelanta el juez civil municipal se acumulan demandas declarativas o ejecutivas, o se acumula un nuevo proceso, según sea el caso, generándose aumento de la cuantía y, por ende, modificación de la competencia. Por ejemplo, ante un juez civil municipal se adelanta un proceso ejecutivo promovido por Pedro contra Juan en el cual se persigue el pago </w:t>
      </w:r>
      <w:r w:rsidR="003D446E" w:rsidRPr="00C03118">
        <w:rPr>
          <w:sz w:val="24"/>
        </w:rPr>
        <w:t xml:space="preserve">de una prestación dineraria que </w:t>
      </w:r>
      <w:r w:rsidRPr="00C03118">
        <w:rPr>
          <w:sz w:val="24"/>
        </w:rPr>
        <w:t xml:space="preserve">asciende a $30.000.000. En virtud de lo previsto por el artículo 463 CGP, María acumula en ese proceso su demanda  ejecutiva en contra  de Juan, buscando el pago de $90.000.000,oo, caso en el cual se modifica la cuantía en virtud de la demanda acumulada y se altera la competencia  </w:t>
      </w:r>
      <w:r w:rsidRPr="00C03118">
        <w:rPr>
          <w:sz w:val="24"/>
        </w:rPr>
        <w:lastRenderedPageBreak/>
        <w:t>debiendo remitirse el proceso al juez civil del circuito, efecto que será el mismo en tratándose  de acumulación  de procesos o de demandas ejecutivas, figura ésta última que constituye una novedad en el Código General del Proceso, toda vez que el Código de Procedimiento Civil solamente  contempla  la acumulación de demandas en el proceso de ejecución.</w:t>
      </w:r>
    </w:p>
    <w:p w:rsidR="00D64741" w:rsidRPr="00C03118" w:rsidRDefault="00D64741" w:rsidP="00C03118">
      <w:pPr>
        <w:spacing w:line="480" w:lineRule="auto"/>
        <w:rPr>
          <w:sz w:val="24"/>
        </w:rPr>
      </w:pPr>
      <w:r w:rsidRPr="00C03118">
        <w:rPr>
          <w:sz w:val="24"/>
        </w:rPr>
        <w:t xml:space="preserve">c. Finalmente,  dispone  la norma  en  su último  inciso  que  “se alterará  la competencia  cuando  la Sala Administrativa  del Consejo Superior  de la Judicatura haya dispuesto que una vez en firme la sentencia deban remitirse los expedientes  a las oficinas de apoyo u oficinas de ejecución de sentencias  declarativas  o ejecutivas. En este evento, los funcionarios  y empleados judiciales adscritos a dichas oficinas ejercerán las actuaciones jurisdiccionales y administrativas que sean necesarias para seguir adelante la ejecución ordenada  en la sentencia”, precepto  que una vez entre en vigencia requerirá de reglamentación  y permitirá que existan oficinas cuyo propósito sea adelantar la ejecución de sentencias proferidas en procesos declarativos o adelantar  la materialización  de la sentencia o auto que en los procesos ejecutivos ordenen seguir adelante con la ejecución, oficinas cuyos funcionarios  y empleados  por  expresa autorización  legal ejercen funciones  jurisdiccionales  y administrativas,   respectivamente,   </w:t>
      </w:r>
      <w:r w:rsidRPr="00C03118">
        <w:rPr>
          <w:sz w:val="24"/>
        </w:rPr>
        <w:lastRenderedPageBreak/>
        <w:t>que  les permitirán  adelantar  estas actuaciones y con ello contribuir  a la descongestión de los juzgados.</w:t>
      </w:r>
    </w:p>
    <w:p w:rsidR="004357E5" w:rsidRPr="00C03118" w:rsidRDefault="00D64741" w:rsidP="00C03118">
      <w:pPr>
        <w:spacing w:line="480" w:lineRule="auto"/>
        <w:rPr>
          <w:sz w:val="24"/>
        </w:rPr>
      </w:pPr>
      <w:r w:rsidRPr="00C03118">
        <w:rPr>
          <w:sz w:val="24"/>
        </w:rPr>
        <w:t>La norma contenida en el nuevo Estatuto no contiene la previsión que traía el artículo 21 CPC en relación con los procesos de sucesión, en los cuales podría darse la alteración de la competencia  por modificación del avalúo de los bienes inventariados.  Al no estar contemplada  esta posibilidad en el artículo 27 CGP, es claro que en el proceso de sucesión la cuantía  se determina  por el valor de los bienes relictos y la competencia radicada en virtud de aquella no se modificará si el valor de dichos bienes aumenta  o disminuye, como tampoco si se incluyen en el inventario nuevos bienes o si se produce la exclusión de algunos.</w:t>
      </w:r>
    </w:p>
    <w:sectPr w:rsidR="004357E5" w:rsidRPr="00C03118">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6AAC" w:rsidRDefault="006E6AAC" w:rsidP="003D446E">
      <w:pPr>
        <w:spacing w:line="240" w:lineRule="auto"/>
      </w:pPr>
      <w:r>
        <w:separator/>
      </w:r>
    </w:p>
  </w:endnote>
  <w:endnote w:type="continuationSeparator" w:id="0">
    <w:p w:rsidR="006E6AAC" w:rsidRDefault="006E6AAC" w:rsidP="003D44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4793868"/>
      <w:docPartObj>
        <w:docPartGallery w:val="Page Numbers (Bottom of Page)"/>
        <w:docPartUnique/>
      </w:docPartObj>
    </w:sdtPr>
    <w:sdtEndPr/>
    <w:sdtContent>
      <w:p w:rsidR="003D446E" w:rsidRDefault="003D446E">
        <w:pPr>
          <w:pStyle w:val="Piedepgina"/>
          <w:jc w:val="center"/>
        </w:pPr>
        <w:r>
          <w:fldChar w:fldCharType="begin"/>
        </w:r>
        <w:r>
          <w:instrText>PAGE   \* MERGEFORMAT</w:instrText>
        </w:r>
        <w:r>
          <w:fldChar w:fldCharType="separate"/>
        </w:r>
        <w:r w:rsidR="00C03EF9" w:rsidRPr="00C03EF9">
          <w:rPr>
            <w:noProof/>
            <w:lang w:val="es-ES"/>
          </w:rPr>
          <w:t>10</w:t>
        </w:r>
        <w:r>
          <w:fldChar w:fldCharType="end"/>
        </w:r>
      </w:p>
    </w:sdtContent>
  </w:sdt>
  <w:p w:rsidR="003D446E" w:rsidRDefault="003D446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6AAC" w:rsidRDefault="006E6AAC" w:rsidP="003D446E">
      <w:pPr>
        <w:spacing w:line="240" w:lineRule="auto"/>
      </w:pPr>
      <w:r>
        <w:separator/>
      </w:r>
    </w:p>
  </w:footnote>
  <w:footnote w:type="continuationSeparator" w:id="0">
    <w:p w:rsidR="006E6AAC" w:rsidRDefault="006E6AAC" w:rsidP="003D446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D32AC"/>
    <w:multiLevelType w:val="hybridMultilevel"/>
    <w:tmpl w:val="44D8773C"/>
    <w:lvl w:ilvl="0" w:tplc="075EFDBE">
      <w:start w:val="1"/>
      <w:numFmt w:val="decimal"/>
      <w:lvlText w:val="%1."/>
      <w:lvlJc w:val="left"/>
      <w:pPr>
        <w:ind w:left="1230" w:hanging="87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7DFD2D51"/>
    <w:multiLevelType w:val="multilevel"/>
    <w:tmpl w:val="5F0835AE"/>
    <w:lvl w:ilvl="0">
      <w:start w:val="1"/>
      <w:numFmt w:val="decimal"/>
      <w:lvlText w:val="%1"/>
      <w:lvlJc w:val="left"/>
      <w:pPr>
        <w:ind w:left="870" w:hanging="870"/>
      </w:pPr>
      <w:rPr>
        <w:rFonts w:hint="default"/>
      </w:rPr>
    </w:lvl>
    <w:lvl w:ilvl="1">
      <w:start w:val="1"/>
      <w:numFmt w:val="decimal"/>
      <w:pStyle w:val="Ttulo2"/>
      <w:lvlText w:val="%1.%2"/>
      <w:lvlJc w:val="left"/>
      <w:pPr>
        <w:ind w:left="870" w:hanging="870"/>
      </w:pPr>
      <w:rPr>
        <w:rFonts w:hint="default"/>
      </w:rPr>
    </w:lvl>
    <w:lvl w:ilvl="2">
      <w:start w:val="1"/>
      <w:numFmt w:val="decimal"/>
      <w:lvlText w:val="%1.%2.%3"/>
      <w:lvlJc w:val="left"/>
      <w:pPr>
        <w:ind w:left="870" w:hanging="87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4741"/>
    <w:rsid w:val="000A76FD"/>
    <w:rsid w:val="00311695"/>
    <w:rsid w:val="00314B34"/>
    <w:rsid w:val="003B0638"/>
    <w:rsid w:val="003D446E"/>
    <w:rsid w:val="00406580"/>
    <w:rsid w:val="006904CC"/>
    <w:rsid w:val="006E6AAC"/>
    <w:rsid w:val="0070599E"/>
    <w:rsid w:val="00773D67"/>
    <w:rsid w:val="007B3912"/>
    <w:rsid w:val="007C75AD"/>
    <w:rsid w:val="008633F3"/>
    <w:rsid w:val="00C03118"/>
    <w:rsid w:val="00C03EF9"/>
    <w:rsid w:val="00CE7A11"/>
    <w:rsid w:val="00D363A4"/>
    <w:rsid w:val="00D501F7"/>
    <w:rsid w:val="00D64741"/>
    <w:rsid w:val="00DA050F"/>
    <w:rsid w:val="00E10C4B"/>
    <w:rsid w:val="00EE63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60DEE"/>
  <w15:docId w15:val="{AE69C5F7-0AC2-4571-AE61-4D32F1D2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633B"/>
    <w:pPr>
      <w:jc w:val="both"/>
    </w:pPr>
    <w:rPr>
      <w:rFonts w:ascii="Verdana" w:hAnsi="Verdana"/>
    </w:rPr>
  </w:style>
  <w:style w:type="paragraph" w:styleId="Ttulo1">
    <w:name w:val="heading 1"/>
    <w:basedOn w:val="Normal"/>
    <w:next w:val="Normal"/>
    <w:link w:val="Ttulo1Car"/>
    <w:autoRedefine/>
    <w:uiPriority w:val="9"/>
    <w:qFormat/>
    <w:rsid w:val="00EE633B"/>
    <w:pPr>
      <w:keepNext/>
      <w:keepLines/>
      <w:spacing w:before="480"/>
      <w:outlineLvl w:val="0"/>
    </w:pPr>
    <w:rPr>
      <w:rFonts w:eastAsiaTheme="majorEastAsia" w:cstheme="majorBidi"/>
      <w:b/>
      <w:bCs/>
      <w:sz w:val="32"/>
      <w:szCs w:val="28"/>
    </w:rPr>
  </w:style>
  <w:style w:type="paragraph" w:styleId="Ttulo2">
    <w:name w:val="heading 2"/>
    <w:basedOn w:val="Normal"/>
    <w:next w:val="Normal"/>
    <w:link w:val="Ttulo2Car"/>
    <w:autoRedefine/>
    <w:uiPriority w:val="9"/>
    <w:unhideWhenUsed/>
    <w:qFormat/>
    <w:rsid w:val="00C03118"/>
    <w:pPr>
      <w:keepNext/>
      <w:keepLines/>
      <w:numPr>
        <w:ilvl w:val="1"/>
        <w:numId w:val="1"/>
      </w:numPr>
      <w:spacing w:before="200" w:line="480" w:lineRule="auto"/>
      <w:outlineLvl w:val="1"/>
    </w:pPr>
    <w:rPr>
      <w:rFonts w:eastAsiaTheme="majorEastAsia" w:cstheme="majorBidi"/>
      <w:b/>
      <w:bCs/>
      <w:sz w:val="28"/>
      <w:szCs w:val="26"/>
    </w:rPr>
  </w:style>
  <w:style w:type="paragraph" w:styleId="Ttulo3">
    <w:name w:val="heading 3"/>
    <w:basedOn w:val="Normal"/>
    <w:next w:val="Normal"/>
    <w:link w:val="Ttulo3Car"/>
    <w:autoRedefine/>
    <w:uiPriority w:val="9"/>
    <w:semiHidden/>
    <w:unhideWhenUsed/>
    <w:qFormat/>
    <w:rsid w:val="000A76FD"/>
    <w:pPr>
      <w:keepNext/>
      <w:keepLines/>
      <w:spacing w:before="200"/>
      <w:outlineLvl w:val="2"/>
    </w:pPr>
    <w:rPr>
      <w:rFonts w:eastAsiaTheme="majorEastAsia" w:cstheme="majorBidi"/>
      <w:b/>
      <w:bCs/>
      <w:sz w:val="24"/>
    </w:rPr>
  </w:style>
  <w:style w:type="paragraph" w:styleId="Ttulo4">
    <w:name w:val="heading 4"/>
    <w:basedOn w:val="Normal"/>
    <w:next w:val="Normal"/>
    <w:link w:val="Ttulo4Car"/>
    <w:autoRedefine/>
    <w:uiPriority w:val="9"/>
    <w:unhideWhenUsed/>
    <w:qFormat/>
    <w:rsid w:val="00D363A4"/>
    <w:pPr>
      <w:keepNext/>
      <w:keepLines/>
      <w:spacing w:before="200"/>
      <w:outlineLvl w:val="3"/>
    </w:pPr>
    <w:rPr>
      <w:rFonts w:eastAsiaTheme="majorEastAsia" w:cstheme="majorBidi"/>
      <w:b/>
      <w:bCs/>
      <w:i/>
      <w:iCs/>
      <w:sz w:val="20"/>
    </w:rPr>
  </w:style>
  <w:style w:type="paragraph" w:styleId="Ttulo5">
    <w:name w:val="heading 5"/>
    <w:basedOn w:val="Normal"/>
    <w:next w:val="Normal"/>
    <w:link w:val="Ttulo5Car"/>
    <w:autoRedefine/>
    <w:uiPriority w:val="9"/>
    <w:unhideWhenUsed/>
    <w:qFormat/>
    <w:rsid w:val="008633F3"/>
    <w:pPr>
      <w:keepNext/>
      <w:keepLines/>
      <w:spacing w:before="200"/>
      <w:outlineLvl w:val="4"/>
    </w:pPr>
    <w:rPr>
      <w:rFonts w:eastAsiaTheme="majorEastAsia" w:cstheme="majorBidi"/>
      <w:i/>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E633B"/>
    <w:rPr>
      <w:rFonts w:ascii="Verdana" w:eastAsiaTheme="majorEastAsia" w:hAnsi="Verdana" w:cstheme="majorBidi"/>
      <w:b/>
      <w:bCs/>
      <w:sz w:val="32"/>
      <w:szCs w:val="28"/>
    </w:rPr>
  </w:style>
  <w:style w:type="character" w:customStyle="1" w:styleId="Ttulo2Car">
    <w:name w:val="Título 2 Car"/>
    <w:basedOn w:val="Fuentedeprrafopredeter"/>
    <w:link w:val="Ttulo2"/>
    <w:uiPriority w:val="9"/>
    <w:rsid w:val="00C03118"/>
    <w:rPr>
      <w:rFonts w:ascii="Verdana" w:eastAsiaTheme="majorEastAsia" w:hAnsi="Verdana" w:cstheme="majorBidi"/>
      <w:b/>
      <w:bCs/>
      <w:sz w:val="28"/>
      <w:szCs w:val="26"/>
    </w:rPr>
  </w:style>
  <w:style w:type="paragraph" w:styleId="Subttulo">
    <w:name w:val="Subtitle"/>
    <w:aliases w:val="Titulo 3"/>
    <w:basedOn w:val="Normal"/>
    <w:next w:val="Normal"/>
    <w:link w:val="SubttuloCar"/>
    <w:autoRedefine/>
    <w:uiPriority w:val="11"/>
    <w:qFormat/>
    <w:rsid w:val="00EE633B"/>
    <w:pPr>
      <w:numPr>
        <w:ilvl w:val="1"/>
      </w:numPr>
    </w:pPr>
    <w:rPr>
      <w:rFonts w:eastAsiaTheme="majorEastAsia" w:cstheme="majorBidi"/>
      <w:iCs/>
      <w:spacing w:val="15"/>
      <w:sz w:val="24"/>
      <w:szCs w:val="24"/>
    </w:rPr>
  </w:style>
  <w:style w:type="character" w:customStyle="1" w:styleId="SubttuloCar">
    <w:name w:val="Subtítulo Car"/>
    <w:aliases w:val="Titulo 3 Car"/>
    <w:basedOn w:val="Fuentedeprrafopredeter"/>
    <w:link w:val="Subttulo"/>
    <w:uiPriority w:val="11"/>
    <w:rsid w:val="00EE633B"/>
    <w:rPr>
      <w:rFonts w:ascii="Verdana" w:eastAsiaTheme="majorEastAsia" w:hAnsi="Verdana" w:cstheme="majorBidi"/>
      <w:iCs/>
      <w:spacing w:val="15"/>
      <w:sz w:val="24"/>
      <w:szCs w:val="24"/>
    </w:rPr>
  </w:style>
  <w:style w:type="character" w:customStyle="1" w:styleId="Ttulo3Car">
    <w:name w:val="Título 3 Car"/>
    <w:basedOn w:val="Fuentedeprrafopredeter"/>
    <w:link w:val="Ttulo3"/>
    <w:uiPriority w:val="9"/>
    <w:semiHidden/>
    <w:rsid w:val="000A76FD"/>
    <w:rPr>
      <w:rFonts w:ascii="Verdana" w:eastAsiaTheme="majorEastAsia" w:hAnsi="Verdana" w:cstheme="majorBidi"/>
      <w:b/>
      <w:bCs/>
      <w:sz w:val="24"/>
    </w:rPr>
  </w:style>
  <w:style w:type="character" w:customStyle="1" w:styleId="Ttulo4Car">
    <w:name w:val="Título 4 Car"/>
    <w:basedOn w:val="Fuentedeprrafopredeter"/>
    <w:link w:val="Ttulo4"/>
    <w:uiPriority w:val="9"/>
    <w:rsid w:val="00D363A4"/>
    <w:rPr>
      <w:rFonts w:ascii="Verdana" w:eastAsiaTheme="majorEastAsia" w:hAnsi="Verdana" w:cstheme="majorBidi"/>
      <w:b/>
      <w:bCs/>
      <w:i/>
      <w:iCs/>
      <w:sz w:val="20"/>
    </w:rPr>
  </w:style>
  <w:style w:type="character" w:customStyle="1" w:styleId="Ttulo5Car">
    <w:name w:val="Título 5 Car"/>
    <w:basedOn w:val="Fuentedeprrafopredeter"/>
    <w:link w:val="Ttulo5"/>
    <w:uiPriority w:val="9"/>
    <w:rsid w:val="008633F3"/>
    <w:rPr>
      <w:rFonts w:ascii="Verdana" w:eastAsiaTheme="majorEastAsia" w:hAnsi="Verdana" w:cstheme="majorBidi"/>
      <w:i/>
      <w:sz w:val="20"/>
    </w:rPr>
  </w:style>
  <w:style w:type="paragraph" w:styleId="Encabezado">
    <w:name w:val="header"/>
    <w:basedOn w:val="Normal"/>
    <w:link w:val="EncabezadoCar"/>
    <w:uiPriority w:val="99"/>
    <w:unhideWhenUsed/>
    <w:rsid w:val="003D446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D446E"/>
    <w:rPr>
      <w:rFonts w:ascii="Verdana" w:hAnsi="Verdana"/>
    </w:rPr>
  </w:style>
  <w:style w:type="paragraph" w:styleId="Piedepgina">
    <w:name w:val="footer"/>
    <w:basedOn w:val="Normal"/>
    <w:link w:val="PiedepginaCar"/>
    <w:uiPriority w:val="99"/>
    <w:unhideWhenUsed/>
    <w:rsid w:val="003D446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D446E"/>
    <w:rPr>
      <w:rFonts w:ascii="Verdana" w:hAnsi="Verdana"/>
    </w:rPr>
  </w:style>
  <w:style w:type="paragraph" w:styleId="TtuloTDC">
    <w:name w:val="TOC Heading"/>
    <w:basedOn w:val="Ttulo1"/>
    <w:next w:val="Normal"/>
    <w:uiPriority w:val="39"/>
    <w:semiHidden/>
    <w:unhideWhenUsed/>
    <w:qFormat/>
    <w:rsid w:val="003D446E"/>
    <w:pPr>
      <w:spacing w:line="276" w:lineRule="auto"/>
      <w:jc w:val="left"/>
      <w:outlineLvl w:val="9"/>
    </w:pPr>
    <w:rPr>
      <w:rFonts w:asciiTheme="majorHAnsi" w:hAnsiTheme="majorHAnsi"/>
      <w:color w:val="365F91" w:themeColor="accent1" w:themeShade="BF"/>
      <w:sz w:val="28"/>
      <w:lang w:eastAsia="es-CO"/>
    </w:rPr>
  </w:style>
  <w:style w:type="paragraph" w:styleId="TDC1">
    <w:name w:val="toc 1"/>
    <w:basedOn w:val="Normal"/>
    <w:next w:val="Normal"/>
    <w:autoRedefine/>
    <w:uiPriority w:val="39"/>
    <w:unhideWhenUsed/>
    <w:rsid w:val="003D446E"/>
    <w:pPr>
      <w:spacing w:after="100"/>
    </w:pPr>
  </w:style>
  <w:style w:type="paragraph" w:styleId="TDC2">
    <w:name w:val="toc 2"/>
    <w:basedOn w:val="Normal"/>
    <w:next w:val="Normal"/>
    <w:autoRedefine/>
    <w:uiPriority w:val="39"/>
    <w:unhideWhenUsed/>
    <w:rsid w:val="003D446E"/>
    <w:pPr>
      <w:spacing w:after="100"/>
      <w:ind w:left="220"/>
    </w:pPr>
  </w:style>
  <w:style w:type="character" w:styleId="Hipervnculo">
    <w:name w:val="Hyperlink"/>
    <w:basedOn w:val="Fuentedeprrafopredeter"/>
    <w:uiPriority w:val="99"/>
    <w:unhideWhenUsed/>
    <w:rsid w:val="003D446E"/>
    <w:rPr>
      <w:color w:val="0000FF" w:themeColor="hyperlink"/>
      <w:u w:val="single"/>
    </w:rPr>
  </w:style>
  <w:style w:type="paragraph" w:styleId="Textodeglobo">
    <w:name w:val="Balloon Text"/>
    <w:basedOn w:val="Normal"/>
    <w:link w:val="TextodegloboCar"/>
    <w:uiPriority w:val="99"/>
    <w:semiHidden/>
    <w:unhideWhenUsed/>
    <w:rsid w:val="00C0311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03118"/>
    <w:rPr>
      <w:rFonts w:ascii="Tahoma" w:hAnsi="Tahoma" w:cs="Tahoma"/>
      <w:sz w:val="16"/>
      <w:szCs w:val="16"/>
    </w:rPr>
  </w:style>
  <w:style w:type="paragraph" w:styleId="Prrafodelista">
    <w:name w:val="List Paragraph"/>
    <w:basedOn w:val="Normal"/>
    <w:uiPriority w:val="34"/>
    <w:qFormat/>
    <w:rsid w:val="00C031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8908C-F8B0-4231-B376-1C23D3BDE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50</Pages>
  <Words>10546</Words>
  <Characters>58009</Characters>
  <Application>Microsoft Office Word</Application>
  <DocSecurity>0</DocSecurity>
  <Lines>483</Lines>
  <Paragraphs>136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Sanabria Santos,Henry</dc:creator>
  <cp:lastModifiedBy>Cristian Ospina</cp:lastModifiedBy>
  <cp:revision>3</cp:revision>
  <dcterms:created xsi:type="dcterms:W3CDTF">2021-07-03T03:01:00Z</dcterms:created>
  <dcterms:modified xsi:type="dcterms:W3CDTF">2022-08-30T16:33:00Z</dcterms:modified>
</cp:coreProperties>
</file>