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ADCDB" w14:textId="0C0B72E4" w:rsidR="004D0209" w:rsidRPr="004D0209" w:rsidRDefault="004D0209" w:rsidP="004D0209">
      <w:pPr>
        <w:spacing w:before="240"/>
        <w:rPr>
          <w:rStyle w:val="Ttulodellibro"/>
        </w:rPr>
      </w:pPr>
      <w:r w:rsidRPr="004D0209">
        <w:rPr>
          <w:rStyle w:val="Ttulodellibro"/>
        </w:rPr>
        <w:t>LEY 1834 DEL 23 DE MAYO DE 2017</w:t>
      </w:r>
    </w:p>
    <w:p w14:paraId="65101C55" w14:textId="77777777" w:rsidR="004D0209" w:rsidRDefault="004D0209">
      <w:r>
        <w:br w:type="page"/>
      </w:r>
    </w:p>
    <w:p w14:paraId="4EBE55ED" w14:textId="3EAFD29A" w:rsidR="004D0209" w:rsidRPr="00C95A6E" w:rsidRDefault="00C95A6E" w:rsidP="004D0209">
      <w:pPr>
        <w:spacing w:before="240"/>
        <w:rPr>
          <w:b/>
          <w:bCs/>
        </w:rPr>
      </w:pPr>
      <w:r w:rsidRPr="00C95A6E">
        <w:rPr>
          <w:b/>
          <w:bCs/>
        </w:rPr>
        <w:lastRenderedPageBreak/>
        <w:t>Por medio de la cual se fomenta la economía creativa ley naranja.</w:t>
      </w:r>
    </w:p>
    <w:p w14:paraId="67062518" w14:textId="77176C82" w:rsidR="004D0209" w:rsidRDefault="004D0209">
      <w:r>
        <w:br w:type="page"/>
      </w:r>
    </w:p>
    <w:sdt>
      <w:sdtPr>
        <w:rPr>
          <w:rFonts w:ascii="Verdana" w:eastAsiaTheme="minorHAnsi" w:hAnsi="Verdana" w:cstheme="minorBidi"/>
          <w:b/>
          <w:bCs/>
          <w:color w:val="auto"/>
          <w:sz w:val="24"/>
          <w:szCs w:val="22"/>
          <w:lang w:val="es-ES" w:eastAsia="en-US"/>
        </w:rPr>
        <w:id w:val="-997881050"/>
        <w:docPartObj>
          <w:docPartGallery w:val="Table of Contents"/>
          <w:docPartUnique/>
        </w:docPartObj>
      </w:sdtPr>
      <w:sdtContent>
        <w:p w14:paraId="74969E58" w14:textId="6C85C0D2" w:rsidR="0001592F" w:rsidRPr="0001592F" w:rsidRDefault="0001592F">
          <w:pPr>
            <w:pStyle w:val="TtuloTDC"/>
            <w:rPr>
              <w:rFonts w:ascii="Verdana" w:hAnsi="Verdana"/>
              <w:b/>
              <w:bCs/>
              <w:color w:val="auto"/>
            </w:rPr>
          </w:pPr>
          <w:r w:rsidRPr="0001592F">
            <w:rPr>
              <w:rFonts w:ascii="Verdana" w:hAnsi="Verdana"/>
              <w:b/>
              <w:bCs/>
              <w:color w:val="auto"/>
              <w:lang w:val="es-ES"/>
            </w:rPr>
            <w:t>Tabla de contenido</w:t>
          </w:r>
        </w:p>
        <w:p w14:paraId="6638C51E" w14:textId="60179D69" w:rsidR="0001592F" w:rsidRDefault="0001592F" w:rsidP="0001592F">
          <w:pPr>
            <w:pStyle w:val="TDC1"/>
            <w:tabs>
              <w:tab w:val="right" w:leader="dot" w:pos="8494"/>
            </w:tabs>
            <w:spacing w:before="240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3211057" w:history="1">
            <w:r w:rsidRPr="00C61961">
              <w:rPr>
                <w:rStyle w:val="Hipervnculo"/>
                <w:noProof/>
              </w:rPr>
              <w:t>LEY 1834 DEL 23 DE MAYO DE 2017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EF0251" w14:textId="37F2120A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58" w:history="1">
            <w:r w:rsidRPr="00C61961">
              <w:rPr>
                <w:rStyle w:val="Hipervnculo"/>
                <w:noProof/>
              </w:rPr>
              <w:t>Artículo 1: Objeto.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389EEA" w14:textId="1F3974EC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59" w:history="1">
            <w:r w:rsidRPr="00C61961">
              <w:rPr>
                <w:rStyle w:val="Hipervnculo"/>
                <w:noProof/>
              </w:rPr>
              <w:t>Artículo 2: Definiciones.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354768" w14:textId="197AC2A9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60" w:history="1">
            <w:r w:rsidRPr="00C61961">
              <w:rPr>
                <w:rStyle w:val="Hipervnculo"/>
                <w:noProof/>
              </w:rPr>
              <w:t>Artículo 3: Importancia.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0136CD" w14:textId="013ED17E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61" w:history="1">
            <w:r w:rsidRPr="00C61961">
              <w:rPr>
                <w:rStyle w:val="Hipervnculo"/>
                <w:noProof/>
              </w:rPr>
              <w:t>Artículo 4: Política Integral de la Economía Creativa.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A01E08" w14:textId="6FED9BAE" w:rsidR="0001592F" w:rsidRDefault="0001592F">
          <w:pPr>
            <w:pStyle w:val="TDC3"/>
            <w:tabs>
              <w:tab w:val="right" w:leader="dot" w:pos="8494"/>
            </w:tabs>
            <w:rPr>
              <w:noProof/>
            </w:rPr>
          </w:pPr>
          <w:hyperlink w:anchor="_Toc223211062" w:history="1">
            <w:r w:rsidRPr="00C61961">
              <w:rPr>
                <w:rStyle w:val="Hipervnculo"/>
                <w:noProof/>
              </w:rPr>
              <w:t>Parágrafo.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ACDE4B" w14:textId="32EE1E92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63" w:history="1">
            <w:r w:rsidRPr="00C61961">
              <w:rPr>
                <w:rStyle w:val="Hipervnculo"/>
                <w:noProof/>
              </w:rPr>
              <w:t>Artículo 5: Las 7i. Estrategia para la gestión pública.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D89E5E" w14:textId="462DEFD2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64" w:history="1">
            <w:r w:rsidRPr="00C61961">
              <w:rPr>
                <w:rStyle w:val="Hipervnculo"/>
                <w:noProof/>
              </w:rPr>
              <w:t>Artículo 6: Cuenta satélite de cultura y economía naranja.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403BAF" w14:textId="623FFBA4" w:rsidR="0001592F" w:rsidRDefault="0001592F">
          <w:pPr>
            <w:pStyle w:val="TDC3"/>
            <w:tabs>
              <w:tab w:val="right" w:leader="dot" w:pos="8494"/>
            </w:tabs>
            <w:rPr>
              <w:noProof/>
            </w:rPr>
          </w:pPr>
          <w:hyperlink w:anchor="_Toc223211065" w:history="1">
            <w:r w:rsidRPr="00C61961">
              <w:rPr>
                <w:rStyle w:val="Hipervnculo"/>
                <w:noProof/>
              </w:rPr>
              <w:t>Parágrafo.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3EA9F9" w14:textId="2FF7D24C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66" w:history="1">
            <w:r w:rsidRPr="00C61961">
              <w:rPr>
                <w:rStyle w:val="Hipervnculo"/>
                <w:noProof/>
              </w:rPr>
              <w:t>Artículo 7: Institucionalidad.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0BA9E5" w14:textId="573C739B" w:rsidR="0001592F" w:rsidRDefault="0001592F">
          <w:pPr>
            <w:pStyle w:val="TDC3"/>
            <w:tabs>
              <w:tab w:val="right" w:leader="dot" w:pos="8494"/>
            </w:tabs>
            <w:rPr>
              <w:noProof/>
            </w:rPr>
          </w:pPr>
          <w:hyperlink w:anchor="_Toc223211067" w:history="1">
            <w:r w:rsidRPr="00C61961">
              <w:rPr>
                <w:rStyle w:val="Hipervnculo"/>
                <w:noProof/>
              </w:rPr>
              <w:t>Parágrafo.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819A5E" w14:textId="41A7EE44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68" w:history="1">
            <w:r w:rsidRPr="00C61961">
              <w:rPr>
                <w:rStyle w:val="Hipervnculo"/>
                <w:noProof/>
              </w:rPr>
              <w:t>Artículo 8: Incentivos.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0C02BB" w14:textId="7707EC1D" w:rsidR="0001592F" w:rsidRDefault="0001592F">
          <w:pPr>
            <w:pStyle w:val="TDC3"/>
            <w:tabs>
              <w:tab w:val="right" w:leader="dot" w:pos="8494"/>
            </w:tabs>
            <w:rPr>
              <w:noProof/>
            </w:rPr>
          </w:pPr>
          <w:hyperlink w:anchor="_Toc223211069" w:history="1">
            <w:r w:rsidRPr="00C61961">
              <w:rPr>
                <w:rStyle w:val="Hipervnculo"/>
                <w:noProof/>
              </w:rPr>
              <w:t>Parágrafo.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D1A010" w14:textId="6592ED10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70" w:history="1">
            <w:r w:rsidRPr="00C61961">
              <w:rPr>
                <w:rStyle w:val="Hipervnculo"/>
                <w:noProof/>
              </w:rPr>
              <w:t>Artículo 9: Promoción y fomento.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F687BD" w14:textId="3F956DE2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71" w:history="1">
            <w:r w:rsidRPr="00C61961">
              <w:rPr>
                <w:rStyle w:val="Hipervnculo"/>
                <w:noProof/>
              </w:rPr>
              <w:t>Articulo 10: Educación para la economía creativa.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C2364C" w14:textId="7AD162B6" w:rsidR="0001592F" w:rsidRDefault="0001592F">
          <w:pPr>
            <w:pStyle w:val="TDC3"/>
            <w:tabs>
              <w:tab w:val="right" w:leader="dot" w:pos="8494"/>
            </w:tabs>
            <w:rPr>
              <w:noProof/>
            </w:rPr>
          </w:pPr>
          <w:hyperlink w:anchor="_Toc223211072" w:history="1">
            <w:r w:rsidRPr="00C61961">
              <w:rPr>
                <w:rStyle w:val="Hipervnculo"/>
                <w:noProof/>
              </w:rPr>
              <w:t>Parágrafo.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A9FD3F" w14:textId="143AA2FC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73" w:history="1">
            <w:r w:rsidRPr="00C61961">
              <w:rPr>
                <w:rStyle w:val="Hipervnculo"/>
                <w:noProof/>
              </w:rPr>
              <w:t>Artículo 11: Financiación.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650245" w14:textId="066AA56E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74" w:history="1">
            <w:r w:rsidRPr="00C61961">
              <w:rPr>
                <w:rStyle w:val="Hipervnculo"/>
                <w:noProof/>
              </w:rPr>
              <w:t>Artículo 12: Exportaciones.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150D99" w14:textId="2994A1FE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75" w:history="1">
            <w:r w:rsidRPr="00C61961">
              <w:rPr>
                <w:rStyle w:val="Hipervnculo"/>
                <w:noProof/>
              </w:rPr>
              <w:t>Artículo 13: Integración.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B77C3A" w14:textId="06FBE1D4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76" w:history="1">
            <w:r w:rsidRPr="00C61961">
              <w:rPr>
                <w:rStyle w:val="Hipervnculo"/>
                <w:noProof/>
              </w:rPr>
              <w:t>Artículo 14: Sello “Creado en Colombia”.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258826" w14:textId="643FD136" w:rsidR="0001592F" w:rsidRDefault="0001592F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223211077" w:history="1">
            <w:r w:rsidRPr="00C61961">
              <w:rPr>
                <w:rStyle w:val="Hipervnculo"/>
                <w:noProof/>
              </w:rPr>
              <w:t>Artículo 15: Vigencia y derogatorias.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_Toc223211077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8DE188" w14:textId="477CF600" w:rsidR="0001592F" w:rsidRDefault="0001592F">
          <w:r>
            <w:rPr>
              <w:b/>
              <w:bCs/>
            </w:rPr>
            <w:fldChar w:fldCharType="end"/>
          </w:r>
        </w:p>
      </w:sdtContent>
    </w:sdt>
    <w:p w14:paraId="58AAA0A6" w14:textId="4C21ECFF" w:rsidR="0001592F" w:rsidRDefault="0001592F">
      <w:r>
        <w:br w:type="page"/>
      </w:r>
    </w:p>
    <w:p w14:paraId="2AD7DF57" w14:textId="77777777" w:rsidR="004D0209" w:rsidRDefault="004D0209" w:rsidP="004D0209">
      <w:pPr>
        <w:pStyle w:val="Ttulo1"/>
      </w:pPr>
      <w:bookmarkStart w:id="0" w:name="_Toc223211057"/>
      <w:r w:rsidRPr="004D0209">
        <w:lastRenderedPageBreak/>
        <w:t>LEY 1834 DEL 23 DE MAYO DE 2017</w:t>
      </w:r>
      <w:bookmarkEnd w:id="0"/>
    </w:p>
    <w:p w14:paraId="76F35543" w14:textId="7A29A625" w:rsidR="004D0209" w:rsidRDefault="004D0209" w:rsidP="004D0209">
      <w:pPr>
        <w:spacing w:before="240"/>
      </w:pPr>
      <w:r>
        <w:t>EL CONGRESO DE COLOMBIA</w:t>
      </w:r>
    </w:p>
    <w:p w14:paraId="701AE851" w14:textId="77777777" w:rsidR="004D0209" w:rsidRDefault="004D0209" w:rsidP="004D0209">
      <w:pPr>
        <w:spacing w:before="240"/>
      </w:pPr>
      <w:r>
        <w:t>DECRETA:</w:t>
      </w:r>
    </w:p>
    <w:p w14:paraId="0995F6C1" w14:textId="7B1AEFDD" w:rsidR="004D0209" w:rsidRDefault="004D0209" w:rsidP="004D0209">
      <w:pPr>
        <w:pStyle w:val="Ttulo2"/>
      </w:pPr>
      <w:bookmarkStart w:id="1" w:name="_Toc223211058"/>
      <w:r>
        <w:t>Artículo 1: Objeto.</w:t>
      </w:r>
      <w:bookmarkEnd w:id="1"/>
    </w:p>
    <w:p w14:paraId="58D51B12" w14:textId="77777777" w:rsidR="004D0209" w:rsidRDefault="004D0209" w:rsidP="004D0209">
      <w:pPr>
        <w:spacing w:before="240"/>
      </w:pPr>
      <w:r>
        <w:t>La presente ley tiene como objeto desarrollar, fomentar, incentivar y proteger las industrias creativas.</w:t>
      </w:r>
    </w:p>
    <w:p w14:paraId="534F6ABA" w14:textId="6B272C23" w:rsidR="004D0209" w:rsidRDefault="004D0209" w:rsidP="004D0209">
      <w:pPr>
        <w:spacing w:before="240"/>
      </w:pPr>
      <w:r>
        <w:t>Estas serán entendidas como aquellas industrias que generan valor en razón de sus bienes y servicios, los cuales se fundamentan en la propiedad intelectual.</w:t>
      </w:r>
    </w:p>
    <w:p w14:paraId="15BFE9E2" w14:textId="77777777" w:rsidR="004D0209" w:rsidRDefault="004D0209" w:rsidP="004D0209">
      <w:pPr>
        <w:pStyle w:val="Ttulo2"/>
      </w:pPr>
      <w:bookmarkStart w:id="2" w:name="_Toc223211059"/>
      <w:r>
        <w:t>Artículo 2: Definiciones.</w:t>
      </w:r>
      <w:bookmarkEnd w:id="2"/>
    </w:p>
    <w:p w14:paraId="28BE52CA" w14:textId="78E8CAFB" w:rsidR="004D0209" w:rsidRDefault="004D0209" w:rsidP="004D0209">
      <w:pPr>
        <w:spacing w:before="240"/>
      </w:pPr>
      <w:r>
        <w:t>Las industrias creativas comprenderán los sectores que conjugan creación, producción y comercialización de bienes y servicios basados en contenidos intangibles de carácter cultural, y/o aquellas que generen protección en el marco de los derechos de autor.</w:t>
      </w:r>
    </w:p>
    <w:p w14:paraId="287AD478" w14:textId="77777777" w:rsidR="004D0209" w:rsidRDefault="004D0209" w:rsidP="004D0209">
      <w:pPr>
        <w:spacing w:before="240"/>
      </w:pPr>
      <w:r>
        <w:t>Las industrias creativas comprenderán de forma genérica -pero sin limitarse a-, los sectores editoriales, audiovisuales, fonográficos, de artes visuales, de artes escénicas y espectáculos, de turismo y patrimonio cultural material e inmaterial, de educación artística y cultural, de diseño, publicidad, contenidos multimedia, software de contenidos y servicios audiovisuales interactivos, moda, agencias de noticias y servicios de información, y educación creativa.</w:t>
      </w:r>
    </w:p>
    <w:p w14:paraId="0249ED18" w14:textId="767EDF7A" w:rsidR="004D0209" w:rsidRDefault="004D0209" w:rsidP="004D0209">
      <w:pPr>
        <w:pStyle w:val="Ttulo2"/>
      </w:pPr>
      <w:bookmarkStart w:id="3" w:name="_Toc223211060"/>
      <w:r>
        <w:t>Artículo 3: Importancia.</w:t>
      </w:r>
      <w:bookmarkEnd w:id="3"/>
    </w:p>
    <w:p w14:paraId="0B35C535" w14:textId="59BB521C" w:rsidR="004D0209" w:rsidRDefault="004D0209" w:rsidP="004D0209">
      <w:pPr>
        <w:spacing w:before="240"/>
      </w:pPr>
      <w:r>
        <w:t>El Gobierno nacional tomará las medidas necesarias para que las industrias creativas nacionales sean exaltadas, promocionadas, incentivadas, protegidas y reconocidas.</w:t>
      </w:r>
    </w:p>
    <w:p w14:paraId="28DB2BEA" w14:textId="77777777" w:rsidR="004D0209" w:rsidRDefault="004D0209" w:rsidP="004D0209">
      <w:pPr>
        <w:spacing w:before="240"/>
      </w:pPr>
      <w:r>
        <w:lastRenderedPageBreak/>
        <w:t>Para ello coordinará articuladamente sus esfuerzos, con miras a visibilizar este sector de la economía promoviendo su crecimiento e identificándolo como un sector generador de empleo de calidad, motor de desarrollo, y que fomenta el tejido social y humano, así como la identidad y equidad.</w:t>
      </w:r>
    </w:p>
    <w:p w14:paraId="32A41D8F" w14:textId="77777777" w:rsidR="004D0209" w:rsidRDefault="004D0209" w:rsidP="004D0209">
      <w:pPr>
        <w:pStyle w:val="Ttulo2"/>
      </w:pPr>
      <w:bookmarkStart w:id="4" w:name="_Toc223211061"/>
      <w:r>
        <w:t>Artículo 4: Política Integral de la Economía Creativa.</w:t>
      </w:r>
      <w:bookmarkEnd w:id="4"/>
    </w:p>
    <w:p w14:paraId="7B30898B" w14:textId="43DDE4EC" w:rsidR="004D0209" w:rsidRDefault="004D0209" w:rsidP="004D0209">
      <w:pPr>
        <w:spacing w:before="240"/>
      </w:pPr>
      <w:r>
        <w:t>El Gobierno nacional formulará una Política Integral de la Economía Creativa (Política Naranja), con miras a desarrollar la presente ley, y ejecutar en debida forma sus postulados y objetivos.</w:t>
      </w:r>
    </w:p>
    <w:p w14:paraId="10199C06" w14:textId="77777777" w:rsidR="004D0209" w:rsidRDefault="004D0209" w:rsidP="004D0209">
      <w:pPr>
        <w:spacing w:before="240"/>
      </w:pPr>
      <w:r>
        <w:t>Para ello, el Gobierno nacional identificará los sectores objeto de la misma, formulando lineamientos que permitan desarrollarlos, fortalecerlos, posicionarlos, protegerlos y acompañarlos como creadores de valor agregado de la economía.</w:t>
      </w:r>
    </w:p>
    <w:p w14:paraId="2F9AF07E" w14:textId="77777777" w:rsidR="004D0209" w:rsidRDefault="004D0209" w:rsidP="004D0209">
      <w:pPr>
        <w:pStyle w:val="Ttulo3"/>
      </w:pPr>
      <w:bookmarkStart w:id="5" w:name="_Toc223211062"/>
      <w:r>
        <w:t>Parágrafo.</w:t>
      </w:r>
      <w:bookmarkEnd w:id="5"/>
    </w:p>
    <w:p w14:paraId="6680F3C4" w14:textId="1A9006FE" w:rsidR="004D0209" w:rsidRDefault="004D0209" w:rsidP="004D0209">
      <w:pPr>
        <w:spacing w:before="240"/>
      </w:pPr>
      <w:r>
        <w:t>El Gobierno nacional reglamentará lo pertinente en procura de la adecuada implementación de la política pública de la que trata este artículo, y buscará la participación plural y equilibrada de actores públicos, privados,</w:t>
      </w:r>
      <w:r w:rsidR="0001592F">
        <w:t xml:space="preserve"> </w:t>
      </w:r>
      <w:r>
        <w:t>sociales, gremiales y asociativos en el ámbito de la cultura y las industrias creativas.</w:t>
      </w:r>
    </w:p>
    <w:p w14:paraId="54743FBA" w14:textId="3006594D" w:rsidR="004D0209" w:rsidRDefault="0001592F" w:rsidP="004D0209">
      <w:pPr>
        <w:pStyle w:val="Ttulo2"/>
      </w:pPr>
      <w:bookmarkStart w:id="6" w:name="_Toc223211063"/>
      <w:r>
        <w:t>Artículo</w:t>
      </w:r>
      <w:r w:rsidR="004D0209">
        <w:t xml:space="preserve"> 5: Las 7i. Estrategia para la gestión pública.</w:t>
      </w:r>
      <w:bookmarkEnd w:id="6"/>
    </w:p>
    <w:p w14:paraId="7C149E29" w14:textId="11BB2B2E" w:rsidR="004D0209" w:rsidRDefault="004D0209" w:rsidP="004D0209">
      <w:pPr>
        <w:spacing w:before="240"/>
      </w:pPr>
      <w:r>
        <w:t>Las 7i serán entendidas como las estrategias que se implementarán para darle efectiva aplicación a esta ley:</w:t>
      </w:r>
    </w:p>
    <w:p w14:paraId="72D54C2A" w14:textId="7BD7D360" w:rsidR="004D0209" w:rsidRDefault="004D0209" w:rsidP="004D0209">
      <w:pPr>
        <w:pStyle w:val="Prrafodelista"/>
        <w:numPr>
          <w:ilvl w:val="0"/>
          <w:numId w:val="1"/>
        </w:numPr>
        <w:spacing w:before="240"/>
      </w:pPr>
      <w:r>
        <w:t>Información. Se promoverá un adecuado levantamiento de información constante, confiable y comparable sobre los sectores de la economía creativa.</w:t>
      </w:r>
    </w:p>
    <w:p w14:paraId="3239A1BC" w14:textId="77777777" w:rsidR="004D0209" w:rsidRDefault="004D0209" w:rsidP="004D0209">
      <w:pPr>
        <w:pStyle w:val="Prrafodelista"/>
        <w:numPr>
          <w:ilvl w:val="0"/>
          <w:numId w:val="1"/>
        </w:numPr>
        <w:spacing w:before="240"/>
      </w:pPr>
      <w:r>
        <w:t xml:space="preserve">Instituciones. Se coordinará la gestión administrativa que permita involucrar al sector público, privado, mixto y no </w:t>
      </w:r>
      <w:r>
        <w:lastRenderedPageBreak/>
        <w:t>gubernamental, que permita articular de forma adecuada los postulados de la Economía Creativa.</w:t>
      </w:r>
    </w:p>
    <w:p w14:paraId="27EFA911" w14:textId="77777777" w:rsidR="004D0209" w:rsidRDefault="004D0209" w:rsidP="004D0209">
      <w:pPr>
        <w:pStyle w:val="Prrafodelista"/>
        <w:spacing w:before="240"/>
      </w:pPr>
      <w:r>
        <w:t>La articulación de las instituciones u organizaciones públicas y privadas a nivel regional, también es necesaria para crear un terreno fértil para la industria cultural y creativa, sobre todo en los departamentos, ciudades, distritos y municipios.</w:t>
      </w:r>
    </w:p>
    <w:p w14:paraId="0C33BA7B" w14:textId="3785B44F" w:rsidR="004D0209" w:rsidRDefault="004D0209" w:rsidP="004D0209">
      <w:pPr>
        <w:pStyle w:val="Prrafodelista"/>
        <w:numPr>
          <w:ilvl w:val="0"/>
          <w:numId w:val="1"/>
        </w:numPr>
        <w:spacing w:before="240"/>
      </w:pPr>
      <w:r>
        <w:t>Industria. Se fortalecerá el papel de las industrias creativas así como su formalización y adecuación, con la finalidad de que se privilegie y apoye su contribución en el producto interno bruto.</w:t>
      </w:r>
    </w:p>
    <w:p w14:paraId="550662BC" w14:textId="77777777" w:rsidR="004D0209" w:rsidRDefault="004D0209" w:rsidP="004D0209">
      <w:pPr>
        <w:pStyle w:val="Prrafodelista"/>
        <w:numPr>
          <w:ilvl w:val="0"/>
          <w:numId w:val="1"/>
        </w:numPr>
        <w:spacing w:before="240"/>
      </w:pPr>
      <w:r>
        <w:t>Infraestructura. Se desarrollará la infraestructura necesaria para que, en el marco de las competencias del Gobierno nacional y los Gobiernos locales, se privilegie la inversión en infraestructura física o infraestructura virtual, así como a su acceso inclusivo.</w:t>
      </w:r>
    </w:p>
    <w:p w14:paraId="52C15CAF" w14:textId="77777777" w:rsidR="004D0209" w:rsidRDefault="004D0209" w:rsidP="004D0209">
      <w:pPr>
        <w:pStyle w:val="Prrafodelista"/>
        <w:numPr>
          <w:ilvl w:val="0"/>
          <w:numId w:val="1"/>
        </w:numPr>
        <w:spacing w:before="240"/>
      </w:pPr>
      <w:r>
        <w:t>Integración. Se promoverán los instrumentos internacionales necesarios para que las industrias de la economía creativa obtengan acceso adecuado a mercados fortaleciendo así su exportación, sin perjuicio de aquellos tratados y obligaciones internacionales suscritas y ratificadas por Colombia.</w:t>
      </w:r>
    </w:p>
    <w:p w14:paraId="49ECBAE0" w14:textId="77777777" w:rsidR="004D0209" w:rsidRDefault="004D0209" w:rsidP="004D0209">
      <w:pPr>
        <w:pStyle w:val="Prrafodelista"/>
        <w:numPr>
          <w:ilvl w:val="0"/>
          <w:numId w:val="1"/>
        </w:numPr>
        <w:spacing w:before="240"/>
      </w:pPr>
      <w:r>
        <w:t>Inclusión. Se promoverá el desarrollo de las industrias creativas, con miras a que estas se conviertan en vehículos de integración y resocialización como generadoras de oportunidades laborales y económicas.</w:t>
      </w:r>
    </w:p>
    <w:p w14:paraId="2823D3ED" w14:textId="77777777" w:rsidR="004D0209" w:rsidRDefault="004D0209" w:rsidP="004D0209">
      <w:pPr>
        <w:pStyle w:val="Prrafodelista"/>
        <w:spacing w:before="240"/>
      </w:pPr>
      <w:r>
        <w:t>En este sentido, se fortalecerán espacios de circulación independientes de todas las artes en general mediante el reconocimiento de los mismos espacios y equipamientos culturales.</w:t>
      </w:r>
    </w:p>
    <w:p w14:paraId="7D057A78" w14:textId="77777777" w:rsidR="00BD4047" w:rsidRDefault="004D0209" w:rsidP="00BD4047">
      <w:pPr>
        <w:pStyle w:val="Prrafodelista"/>
        <w:spacing w:before="240"/>
      </w:pPr>
      <w:r>
        <w:t xml:space="preserve">A través de la difusión de contenidos locales independientes, se impulsarán vías de circulación tales como radio pública y comunitaria, tv pública, salas alternas de cine, librerías, espacios de circulación de música en vivo y artes escénicas habituales y no habituales y otros mecanismos de circulación de </w:t>
      </w:r>
      <w:r>
        <w:lastRenderedPageBreak/>
        <w:t>bienes y servicios culturales que beneficien principalmente la comercialización y consumo de contenidos locales y nacionales.</w:t>
      </w:r>
    </w:p>
    <w:p w14:paraId="03F8DA96" w14:textId="620841DA" w:rsidR="004D0209" w:rsidRDefault="004D0209" w:rsidP="00BD4047">
      <w:pPr>
        <w:pStyle w:val="Prrafodelista"/>
        <w:numPr>
          <w:ilvl w:val="0"/>
          <w:numId w:val="1"/>
        </w:numPr>
        <w:spacing w:before="240"/>
      </w:pPr>
      <w:r>
        <w:t>Inspiración. Se promoverá la participación en escenarios locales, virtuales, nacionales e internacionales que permitan mostrar el talento nacional, conocer el talento internacional, e inspirar la cultura participativa desarrollando la Economía Creativa en todas sus expresiones.</w:t>
      </w:r>
    </w:p>
    <w:p w14:paraId="3EFF13D7" w14:textId="77777777" w:rsidR="00BD4047" w:rsidRDefault="004D0209" w:rsidP="00BD4047">
      <w:pPr>
        <w:pStyle w:val="Ttulo2"/>
      </w:pPr>
      <w:bookmarkStart w:id="7" w:name="_Toc223211064"/>
      <w:r>
        <w:t>Artículo 6</w:t>
      </w:r>
      <w:r w:rsidR="00BD4047">
        <w:t>:</w:t>
      </w:r>
      <w:r>
        <w:t xml:space="preserve"> Cuenta satélite de cultura y economía naranja.</w:t>
      </w:r>
      <w:bookmarkEnd w:id="7"/>
    </w:p>
    <w:p w14:paraId="0BB6AC2A" w14:textId="77777777" w:rsidR="00BD4047" w:rsidRDefault="004D0209" w:rsidP="004D0209">
      <w:pPr>
        <w:spacing w:before="240"/>
      </w:pPr>
      <w:r>
        <w:t>El Departamento Administrativo Nacional de Estadística (DA</w:t>
      </w:r>
      <w:r w:rsidR="00BD4047">
        <w:t>N</w:t>
      </w:r>
      <w:r>
        <w:t>E) en coordinación con el Ministerio de Cultura, levantarán, ampliarán, adecuarán y actualizarán los sectores y alcances de la cuenta satélite de cultura, la cual se denominará Cuenta Satélite</w:t>
      </w:r>
      <w:r w:rsidR="00BD4047">
        <w:t xml:space="preserve"> </w:t>
      </w:r>
      <w:r>
        <w:t>de Cultura y Economía Naranja.</w:t>
      </w:r>
    </w:p>
    <w:p w14:paraId="2C6CDC3A" w14:textId="25B67546" w:rsidR="004D0209" w:rsidRDefault="004D0209" w:rsidP="004D0209">
      <w:pPr>
        <w:spacing w:before="240"/>
      </w:pPr>
      <w:r>
        <w:t>El Ministerio de Tecnologías de la Información y las Comunicaciones, el Ministerio de Comercio, Industria y Turismo, el Ministerio del Interior y la Dirección de Impuestos y Aduanas Nacionales (Dian) deberán proveer la información requerida por el DA</w:t>
      </w:r>
      <w:r w:rsidR="00BD4047">
        <w:t>N</w:t>
      </w:r>
      <w:r>
        <w:t>E y el Ministerio de Cultura, para el i fin señalado.</w:t>
      </w:r>
    </w:p>
    <w:p w14:paraId="67496C6B" w14:textId="77777777" w:rsidR="004D0209" w:rsidRDefault="004D0209" w:rsidP="004D0209">
      <w:pPr>
        <w:spacing w:before="240"/>
      </w:pPr>
      <w:r>
        <w:t>Para ello se tendrán en cuenta todos los sectores asociados a las industrias culturales y creativas.</w:t>
      </w:r>
    </w:p>
    <w:p w14:paraId="79C511F1" w14:textId="77777777" w:rsidR="00BD4047" w:rsidRDefault="004D0209" w:rsidP="00BD4047">
      <w:pPr>
        <w:pStyle w:val="Ttulo3"/>
      </w:pPr>
      <w:bookmarkStart w:id="8" w:name="_Toc223211065"/>
      <w:r>
        <w:t>Parágrafo.</w:t>
      </w:r>
      <w:bookmarkEnd w:id="8"/>
    </w:p>
    <w:p w14:paraId="270561B4" w14:textId="77777777" w:rsidR="00BD4047" w:rsidRDefault="004D0209" w:rsidP="004D0209">
      <w:pPr>
        <w:spacing w:before="240"/>
      </w:pPr>
      <w:r>
        <w:t>El Gobierno nacional fomentará en los entes territoriales el mapeo de los sectores creativos.</w:t>
      </w:r>
    </w:p>
    <w:p w14:paraId="06D12C6D" w14:textId="667B7416" w:rsidR="004D0209" w:rsidRDefault="004D0209" w:rsidP="004D0209">
      <w:pPr>
        <w:spacing w:before="240"/>
      </w:pPr>
      <w:r>
        <w:t>El DA</w:t>
      </w:r>
      <w:r w:rsidR="00BD4047">
        <w:t>N</w:t>
      </w:r>
      <w:r>
        <w:t>E publicará periódicamente el documento denominado “Reporte Naranja” de estadísticas básicas sobre la economía creativa en Colombia.</w:t>
      </w:r>
    </w:p>
    <w:p w14:paraId="50B46399" w14:textId="77777777" w:rsidR="00BD4047" w:rsidRDefault="004D0209" w:rsidP="00BD4047">
      <w:pPr>
        <w:pStyle w:val="Ttulo2"/>
      </w:pPr>
      <w:bookmarkStart w:id="9" w:name="_Toc223211066"/>
      <w:r>
        <w:lastRenderedPageBreak/>
        <w:t>Artículo 7</w:t>
      </w:r>
      <w:r w:rsidR="00BD4047">
        <w:t>:</w:t>
      </w:r>
      <w:r>
        <w:t xml:space="preserve"> Institucionalidad.</w:t>
      </w:r>
      <w:bookmarkEnd w:id="9"/>
    </w:p>
    <w:p w14:paraId="21A20620" w14:textId="03F45D85" w:rsidR="004D0209" w:rsidRDefault="004D0209" w:rsidP="004D0209">
      <w:pPr>
        <w:spacing w:before="240"/>
      </w:pPr>
      <w:r>
        <w:t>El Estado promoverá el fortalecimiento de instituciones públicas, privadas y mixtas, orientadas a la promoción, defensa, divulgación y desarrollo de las actividades culturales y creativas, desarrollando adecuadamente el potencial de la Economía Creativa.</w:t>
      </w:r>
    </w:p>
    <w:p w14:paraId="3DD23D89" w14:textId="77777777" w:rsidR="00BD4047" w:rsidRDefault="004D0209" w:rsidP="004D0209">
      <w:pPr>
        <w:spacing w:before="240"/>
      </w:pPr>
      <w:r>
        <w:t>Para tal fin se creará y conformará el Consejo Nacional de la Economía Naranja, como coordinador institucional de la economía creativa.</w:t>
      </w:r>
    </w:p>
    <w:p w14:paraId="6B82465C" w14:textId="77777777" w:rsidR="00BD4047" w:rsidRDefault="004D0209" w:rsidP="004D0209">
      <w:pPr>
        <w:spacing w:before="240"/>
      </w:pPr>
      <w:r>
        <w:t>Este Consejo estará conformado por:</w:t>
      </w:r>
    </w:p>
    <w:p w14:paraId="71E619E4" w14:textId="237C3C49" w:rsidR="00BD4047" w:rsidRDefault="004D0209" w:rsidP="00BD4047">
      <w:pPr>
        <w:pStyle w:val="Prrafodelista"/>
        <w:numPr>
          <w:ilvl w:val="0"/>
          <w:numId w:val="2"/>
        </w:numPr>
        <w:spacing w:before="240"/>
      </w:pPr>
      <w:r>
        <w:t>El Ministro de Hacienda y Crédito Público.</w:t>
      </w:r>
    </w:p>
    <w:p w14:paraId="11323BF2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Ministro del Trabajo.</w:t>
      </w:r>
    </w:p>
    <w:p w14:paraId="7A5680E0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Ministro de Comercio, Industria y Turismo.</w:t>
      </w:r>
    </w:p>
    <w:p w14:paraId="764129D5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Ministro de Educación Nacional.</w:t>
      </w:r>
    </w:p>
    <w:p w14:paraId="0B7BB9B9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Ministro de Tecnologías de la Información y Comunicaciones.</w:t>
      </w:r>
    </w:p>
    <w:p w14:paraId="7F132DA2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Ministro del Interior</w:t>
      </w:r>
      <w:r w:rsidR="00BD4047">
        <w:t>.</w:t>
      </w:r>
    </w:p>
    <w:p w14:paraId="54D8EA61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Ministro de Cultura (quien lo presidirá).</w:t>
      </w:r>
    </w:p>
    <w:p w14:paraId="6B396AF3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Director Nacional de Planeación (DNP).</w:t>
      </w:r>
    </w:p>
    <w:p w14:paraId="48014C7F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Director del Departamento Administrativo Nacional de Estadística (DA</w:t>
      </w:r>
      <w:r w:rsidR="00BD4047">
        <w:t>N</w:t>
      </w:r>
      <w:r>
        <w:t>E).</w:t>
      </w:r>
    </w:p>
    <w:p w14:paraId="3933CD6D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Director del Servicio Nacional de Aprendizaje (Sena).</w:t>
      </w:r>
    </w:p>
    <w:p w14:paraId="276797E9" w14:textId="77777777" w:rsidR="00BD4047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Director de la Dirección Nacional de Derecho de Autor (ONDA).</w:t>
      </w:r>
    </w:p>
    <w:p w14:paraId="470D0042" w14:textId="2556D5BF" w:rsidR="004D0209" w:rsidRDefault="004D0209" w:rsidP="004D0209">
      <w:pPr>
        <w:pStyle w:val="Prrafodelista"/>
        <w:numPr>
          <w:ilvl w:val="0"/>
          <w:numId w:val="2"/>
        </w:numPr>
        <w:spacing w:before="240"/>
      </w:pPr>
      <w:r>
        <w:t>El Presidente de la Financiera de</w:t>
      </w:r>
      <w:r w:rsidR="00BD4047">
        <w:t>l</w:t>
      </w:r>
      <w:r>
        <w:t xml:space="preserve"> Desarrollo Territorial (Findeter).</w:t>
      </w:r>
    </w:p>
    <w:p w14:paraId="3F3E299E" w14:textId="77777777" w:rsidR="00BD4047" w:rsidRDefault="004D0209" w:rsidP="00BD4047">
      <w:pPr>
        <w:pStyle w:val="Ttulo3"/>
      </w:pPr>
      <w:bookmarkStart w:id="10" w:name="_Toc223211067"/>
      <w:r>
        <w:t>Parágrafo.</w:t>
      </w:r>
      <w:bookmarkEnd w:id="10"/>
    </w:p>
    <w:p w14:paraId="58CFB1E7" w14:textId="786B1629" w:rsidR="004D0209" w:rsidRDefault="004D0209" w:rsidP="004D0209">
      <w:pPr>
        <w:spacing w:before="240"/>
      </w:pPr>
      <w:r>
        <w:t>La participación en este Consejo solamente podrá delegarse en los viceministros, vicepresidentes o subdirectores de la entidad correspondiente.</w:t>
      </w:r>
    </w:p>
    <w:p w14:paraId="21902DE8" w14:textId="704F0708" w:rsidR="00BD4047" w:rsidRDefault="0001592F" w:rsidP="00BD4047">
      <w:pPr>
        <w:pStyle w:val="Ttulo2"/>
      </w:pPr>
      <w:bookmarkStart w:id="11" w:name="_Toc223211068"/>
      <w:r>
        <w:lastRenderedPageBreak/>
        <w:t>Artículo</w:t>
      </w:r>
      <w:r w:rsidR="004D0209">
        <w:t xml:space="preserve"> 8</w:t>
      </w:r>
      <w:r w:rsidR="00BD4047">
        <w:t>:</w:t>
      </w:r>
      <w:r w:rsidR="004D0209">
        <w:t xml:space="preserve"> Incentivos.</w:t>
      </w:r>
      <w:bookmarkEnd w:id="11"/>
    </w:p>
    <w:p w14:paraId="7DDE45C1" w14:textId="77777777" w:rsidR="00BD4047" w:rsidRDefault="004D0209" w:rsidP="004D0209">
      <w:pPr>
        <w:spacing w:before="240"/>
      </w:pPr>
      <w:r>
        <w:t>El Gobierno nacional identificará acciones e incentivos para el desarrollo y crecimiento de las industrias creativas y culturales, incluyendo facilitación de procesos de importación y exportación de bienes y servicios vinculados a actividades creativas y culturales, facilitación migratoria, promoción de agremiaciones dentro del sector, administración adecuada de las sociedades de gestión colectiva y el establecimiento de incentivos estratégicos sectoriales, entre otras acciones.</w:t>
      </w:r>
    </w:p>
    <w:p w14:paraId="7ADC9214" w14:textId="5A29C912" w:rsidR="004D0209" w:rsidRDefault="004D0209" w:rsidP="004D0209">
      <w:pPr>
        <w:spacing w:before="240"/>
      </w:pPr>
      <w:r>
        <w:t>Las entidades territoriales velarán para que los permisos, autorizaciones y demás requerimientos necesarios a nivel local para el desarrollo de actividades creativas y culturales sean fácilmente previsibles, transparentes y expedit</w:t>
      </w:r>
      <w:r w:rsidR="00FF12EB">
        <w:t>a</w:t>
      </w:r>
      <w:r>
        <w:t>s.</w:t>
      </w:r>
    </w:p>
    <w:p w14:paraId="7EE5DAA8" w14:textId="77777777" w:rsidR="00FF12EB" w:rsidRDefault="004D0209" w:rsidP="00FF12EB">
      <w:pPr>
        <w:pStyle w:val="Ttulo3"/>
      </w:pPr>
      <w:bookmarkStart w:id="12" w:name="_Toc223211069"/>
      <w:r>
        <w:t>Parágrafo.</w:t>
      </w:r>
      <w:bookmarkEnd w:id="12"/>
    </w:p>
    <w:p w14:paraId="11646872" w14:textId="5A3002BC" w:rsidR="004D0209" w:rsidRDefault="004D0209" w:rsidP="004D0209">
      <w:pPr>
        <w:spacing w:before="240"/>
      </w:pPr>
      <w:r>
        <w:t>Para el otorgamiento de los beneficios de los que trata este artículo, se deberá contar con el aval previo del Consejo Nacional de la Economía Naranja.</w:t>
      </w:r>
    </w:p>
    <w:p w14:paraId="1C60DF27" w14:textId="77777777" w:rsidR="00FF12EB" w:rsidRDefault="004D0209" w:rsidP="00FF12EB">
      <w:pPr>
        <w:pStyle w:val="Ttulo2"/>
      </w:pPr>
      <w:bookmarkStart w:id="13" w:name="_Toc223211070"/>
      <w:r>
        <w:t>Artículo 9</w:t>
      </w:r>
      <w:r w:rsidR="00FF12EB">
        <w:t>:</w:t>
      </w:r>
      <w:r>
        <w:t xml:space="preserve"> Promoción y fomento.</w:t>
      </w:r>
      <w:bookmarkEnd w:id="13"/>
    </w:p>
    <w:p w14:paraId="540799A8" w14:textId="683A371A" w:rsidR="004D0209" w:rsidRDefault="004D0209" w:rsidP="004D0209">
      <w:pPr>
        <w:spacing w:before="240"/>
      </w:pPr>
      <w:r>
        <w:t>El Gobierno nacional a través de la Financiera del Desarrollo Territorial (Findeter), creará líneas de crédito y cooperación técnica para el impulso a la construcción de infraestructura cultural y creativa en los entes territoriales.</w:t>
      </w:r>
    </w:p>
    <w:p w14:paraId="429E9D5E" w14:textId="77777777" w:rsidR="004D0209" w:rsidRDefault="004D0209" w:rsidP="004D0209">
      <w:pPr>
        <w:spacing w:before="240"/>
      </w:pPr>
      <w:r>
        <w:t>Findeter trabajará coordinadamente con el Ministerio de Cultura para la construcción de agendas de “municipios, ciudades y regiones creativas” en todo el país, con miras a que estas enriquezcan los planes de los diferentes entes territoriales para el impulso de la cultura y la economía creativa.</w:t>
      </w:r>
    </w:p>
    <w:p w14:paraId="5A080919" w14:textId="77777777" w:rsidR="004D0209" w:rsidRDefault="004D0209" w:rsidP="004D0209">
      <w:pPr>
        <w:spacing w:before="240"/>
      </w:pPr>
      <w:r>
        <w:lastRenderedPageBreak/>
        <w:t>En aras de fomentar la participación de los entes territoriales en estas iniciativas, los Órganos Colegiados de Administración y Decisión (OCAD) implementarán a través de las líneas de ciencia y tecnología proyectos de impacto regional o municipal que estimulen los sectores de la Economía Creativa.</w:t>
      </w:r>
    </w:p>
    <w:p w14:paraId="0151D7C8" w14:textId="47346A40" w:rsidR="004D0209" w:rsidRDefault="004D0209" w:rsidP="004D0209">
      <w:pPr>
        <w:spacing w:before="240"/>
      </w:pPr>
      <w:r>
        <w:t>Los proyectos de infraestructura estarán orientados principalmente a infraestructura urbana que estimule estos sectores, infraestructura dedicada tales como museos, bibliotecas, centros culturales, teatros, y otros, e infraestructura digital tendiente a democratizar el acceso a conectividad e Internet de alta velocidad.</w:t>
      </w:r>
    </w:p>
    <w:p w14:paraId="48735A8D" w14:textId="77777777" w:rsidR="00FF12EB" w:rsidRDefault="004D0209" w:rsidP="00FF12EB">
      <w:pPr>
        <w:pStyle w:val="Ttulo2"/>
      </w:pPr>
      <w:bookmarkStart w:id="14" w:name="_Toc223211071"/>
      <w:r>
        <w:t>Articulo 10</w:t>
      </w:r>
      <w:r w:rsidR="00FF12EB">
        <w:t>:</w:t>
      </w:r>
      <w:r>
        <w:t xml:space="preserve"> Educación para la economía creativa.</w:t>
      </w:r>
      <w:bookmarkEnd w:id="14"/>
    </w:p>
    <w:p w14:paraId="3BCFC303" w14:textId="11144D4F" w:rsidR="004D0209" w:rsidRDefault="004D0209" w:rsidP="004D0209">
      <w:pPr>
        <w:spacing w:before="240"/>
      </w:pPr>
      <w:r>
        <w:t>En desarrollo de la jornada única y en el marco de la autonomía escolar, el Ministerio de Educación Nacional, en coordinación con el Servicio Nacional de Aprendizaje (Sena) y el Ministerio de Cultura, promoverán en los establecimientos educativos la formación para el progreso cultural y creativo, a la luz de las disposiciones consagradas en la Ley 115 de 1994.</w:t>
      </w:r>
    </w:p>
    <w:p w14:paraId="2C791C24" w14:textId="77777777" w:rsidR="004D0209" w:rsidRDefault="004D0209" w:rsidP="004D0209">
      <w:pPr>
        <w:spacing w:before="240"/>
      </w:pPr>
      <w:r>
        <w:t>El Servicio Nacional de Aprendizaje (SENA) y la Dirección Nacional de Derecho de Autor (DNDA), realizarán jornadas periódicas de capacitación en materia de Economía Creativa, sin perjuicio que dichas jornadas puedan ser adelantadas también por otras entidades administrativas a las que el Consejo Nacional de la Economía Naranja les asigne esa función.</w:t>
      </w:r>
    </w:p>
    <w:p w14:paraId="788E5E51" w14:textId="40DCF410" w:rsidR="00FF12EB" w:rsidRDefault="004D0209" w:rsidP="00FF12EB">
      <w:pPr>
        <w:pStyle w:val="Ttulo3"/>
      </w:pPr>
      <w:bookmarkStart w:id="15" w:name="_Toc223211072"/>
      <w:r>
        <w:t>Parágrafo.</w:t>
      </w:r>
      <w:bookmarkEnd w:id="15"/>
    </w:p>
    <w:p w14:paraId="3D394C0C" w14:textId="7194E7D2" w:rsidR="004D0209" w:rsidRDefault="004D0209" w:rsidP="004D0209">
      <w:pPr>
        <w:spacing w:before="240"/>
      </w:pPr>
      <w:r>
        <w:t>El Gobierno nacional buscará incluir como parte integral de la política en educación, componentes en el ámbito de las tecnologías de la información y las telecomunicaciones como herramienta para el desarrollo de innovaciones y aplicaciones.</w:t>
      </w:r>
    </w:p>
    <w:p w14:paraId="6C854EDA" w14:textId="77777777" w:rsidR="00FF12EB" w:rsidRDefault="004D0209" w:rsidP="00FF12EB">
      <w:pPr>
        <w:pStyle w:val="Ttulo2"/>
      </w:pPr>
      <w:bookmarkStart w:id="16" w:name="_Toc223211073"/>
      <w:r>
        <w:lastRenderedPageBreak/>
        <w:t>Artículo 11</w:t>
      </w:r>
      <w:r w:rsidR="00FF12EB">
        <w:t>:</w:t>
      </w:r>
      <w:r>
        <w:t xml:space="preserve"> Financiación.</w:t>
      </w:r>
      <w:bookmarkEnd w:id="16"/>
    </w:p>
    <w:p w14:paraId="47951931" w14:textId="77777777" w:rsidR="00FF12EB" w:rsidRDefault="004D0209" w:rsidP="004D0209">
      <w:pPr>
        <w:spacing w:before="240"/>
      </w:pPr>
      <w:r>
        <w:t>El Gobierno nacional promoverá la adecuada financiación que permita desarrollar la Economía Creativa.</w:t>
      </w:r>
    </w:p>
    <w:p w14:paraId="5A274053" w14:textId="778BE958" w:rsidR="004D0209" w:rsidRDefault="004D0209" w:rsidP="004D0209">
      <w:pPr>
        <w:spacing w:before="240"/>
      </w:pPr>
      <w:r>
        <w:t>Para esto, el Banco de Desarrollo Empresarial y Comercio Exterior (Bancoldex) estará encargado de crear mecanismos de financiaci</w:t>
      </w:r>
      <w:r>
        <w:rPr>
          <w:rFonts w:cs="Verdana"/>
        </w:rPr>
        <w:t>ó</w:t>
      </w:r>
      <w:r>
        <w:t>n para emprendimientos creativos, a trav</w:t>
      </w:r>
      <w:r>
        <w:rPr>
          <w:rFonts w:cs="Verdana"/>
        </w:rPr>
        <w:t>é</w:t>
      </w:r>
      <w:r>
        <w:t>s de los instrumentos y veh</w:t>
      </w:r>
      <w:r>
        <w:rPr>
          <w:rFonts w:cs="Verdana"/>
        </w:rPr>
        <w:t>í</w:t>
      </w:r>
      <w:r>
        <w:t>culos que dicha entidad determine seg</w:t>
      </w:r>
      <w:r>
        <w:rPr>
          <w:rFonts w:cs="Verdana"/>
        </w:rPr>
        <w:t>ú</w:t>
      </w:r>
      <w:r>
        <w:t>n su objeto y competencia.</w:t>
      </w:r>
    </w:p>
    <w:p w14:paraId="2EDB936F" w14:textId="75571BD2" w:rsidR="004D0209" w:rsidRDefault="004D0209" w:rsidP="004D0209">
      <w:pPr>
        <w:spacing w:before="240"/>
      </w:pPr>
      <w:r>
        <w:t>En igual sentido, se incrementará la disponibilidad de capital semilla y capital emprendedor para emprendimientos creativos mediante procesos conc</w:t>
      </w:r>
      <w:r w:rsidR="00FF12EB">
        <w:t>u</w:t>
      </w:r>
      <w:r>
        <w:t>rsales rigurosos de acuerdo con la ley.</w:t>
      </w:r>
    </w:p>
    <w:p w14:paraId="38B3D6A7" w14:textId="77777777" w:rsidR="004D0209" w:rsidRDefault="004D0209" w:rsidP="004D0209">
      <w:pPr>
        <w:spacing w:before="240"/>
      </w:pPr>
      <w:r>
        <w:t>Además de lo anterior, el Gobierno Nacional determinará y reglamentará otros mecanismos alternativos de apalancamiento, comercialización y apoyo con el fin de promover los emprendimientos creativos.</w:t>
      </w:r>
    </w:p>
    <w:p w14:paraId="5E2BC0AA" w14:textId="77777777" w:rsidR="00FF12EB" w:rsidRDefault="004D0209" w:rsidP="00FF12EB">
      <w:pPr>
        <w:pStyle w:val="Ttulo2"/>
      </w:pPr>
      <w:bookmarkStart w:id="17" w:name="_Toc223211074"/>
      <w:r>
        <w:t>Artículo 12</w:t>
      </w:r>
      <w:r w:rsidR="00FF12EB">
        <w:t>:</w:t>
      </w:r>
      <w:r>
        <w:t xml:space="preserve"> Exportaciones.</w:t>
      </w:r>
      <w:bookmarkEnd w:id="17"/>
    </w:p>
    <w:p w14:paraId="663E8986" w14:textId="76B6CEE3" w:rsidR="004D0209" w:rsidRDefault="004D0209" w:rsidP="004D0209">
      <w:pPr>
        <w:spacing w:before="240"/>
      </w:pPr>
      <w:r>
        <w:t>El Consejo de la Economía Naranja construirá un programa para incentivar y aumentar las exportaciones de bienes y servicios creativos, y creará un reconocimiento a las empresas que generan las mayores exportaciones en dichos sectores.</w:t>
      </w:r>
    </w:p>
    <w:p w14:paraId="307D7742" w14:textId="533D05D6" w:rsidR="00FF12EB" w:rsidRDefault="0001592F" w:rsidP="00FF12EB">
      <w:pPr>
        <w:pStyle w:val="Ttulo2"/>
      </w:pPr>
      <w:bookmarkStart w:id="18" w:name="_Toc223211075"/>
      <w:r>
        <w:t>Artículo</w:t>
      </w:r>
      <w:r w:rsidR="004D0209">
        <w:t xml:space="preserve"> 13</w:t>
      </w:r>
      <w:r w:rsidR="00FF12EB">
        <w:t>:</w:t>
      </w:r>
      <w:r w:rsidR="004D0209">
        <w:t xml:space="preserve"> Integración.</w:t>
      </w:r>
      <w:bookmarkEnd w:id="18"/>
    </w:p>
    <w:p w14:paraId="082ED71D" w14:textId="453D6F6C" w:rsidR="004D0209" w:rsidRDefault="004D0209" w:rsidP="004D0209">
      <w:pPr>
        <w:spacing w:before="240"/>
      </w:pPr>
      <w:r>
        <w:t>En el marco de los acuerdos comerciales suscritos por Colombia</w:t>
      </w:r>
      <w:r w:rsidR="003B06E3">
        <w:t>,</w:t>
      </w:r>
      <w:r>
        <w:t xml:space="preserve"> el Estado promoverá, a través del Ministerio </w:t>
      </w:r>
      <w:r w:rsidR="003B06E3">
        <w:t>d</w:t>
      </w:r>
      <w:r>
        <w:t xml:space="preserve">e Comercio, Industria y Turismo, la consolidación de Mercados Integrados de Contenidos Originales (MICOS), que faciliten la participación conjunta en actividades como la CO - nutrición, la CO - creación, la CO - producción, la CO - distribución, la CO - protección, la CO - inversión </w:t>
      </w:r>
      <w:r>
        <w:lastRenderedPageBreak/>
        <w:t>y el CO - consumo, en los sectores culturales y creativos, abriendo oportunidades de mercado para estos sectores en nuestro país.</w:t>
      </w:r>
    </w:p>
    <w:p w14:paraId="07FF2990" w14:textId="77777777" w:rsidR="004D0209" w:rsidRDefault="004D0209" w:rsidP="004D0209">
      <w:pPr>
        <w:spacing w:before="240"/>
      </w:pPr>
      <w:r>
        <w:t>Para este propósito, el Estado propenderá por una mejor coordinación institucional y consolidación en lo relativo a la propiedad intelectual, y trabajará mancomunadamente con el sector privado para la protección de los derechos de los creadores, combatiendo con los mejores estándares internacionales la piratería, el contrabando, y otras conductas que afecten los sectores a los que hace referencia la Economía Creativa.</w:t>
      </w:r>
    </w:p>
    <w:p w14:paraId="36701EB5" w14:textId="77777777" w:rsidR="003B06E3" w:rsidRDefault="004D0209" w:rsidP="003B06E3">
      <w:pPr>
        <w:pStyle w:val="Ttulo2"/>
      </w:pPr>
      <w:bookmarkStart w:id="19" w:name="_Toc223211076"/>
      <w:r>
        <w:t>Artículo 14</w:t>
      </w:r>
      <w:r w:rsidR="003B06E3">
        <w:t>:</w:t>
      </w:r>
      <w:r>
        <w:t xml:space="preserve"> Sello “Creado en Colombia”.</w:t>
      </w:r>
      <w:bookmarkEnd w:id="19"/>
    </w:p>
    <w:p w14:paraId="62EA2B5D" w14:textId="5D8AF1EE" w:rsidR="004D0209" w:rsidRDefault="004D0209" w:rsidP="004D0209">
      <w:pPr>
        <w:spacing w:before="240"/>
      </w:pPr>
      <w:r>
        <w:t>El Consejo Nacional de Economía Naranja y la Comisión Intersectorial de Propiedad Intelectual (CIPI) estarán a cargo, de manera conjunta, de coordinar la promoción del sello “Creado en Colombia”, cuyo fin será la divulgación de los bienes y servicios creativos originados en el país.</w:t>
      </w:r>
    </w:p>
    <w:p w14:paraId="74A50E2A" w14:textId="77777777" w:rsidR="003B06E3" w:rsidRDefault="004D0209" w:rsidP="003B06E3">
      <w:pPr>
        <w:pStyle w:val="Ttulo2"/>
      </w:pPr>
      <w:bookmarkStart w:id="20" w:name="_Toc223211077"/>
      <w:r>
        <w:t>Artículo 15</w:t>
      </w:r>
      <w:r w:rsidR="003B06E3">
        <w:t>:</w:t>
      </w:r>
      <w:r>
        <w:t xml:space="preserve"> Vigencia y derogatorias.</w:t>
      </w:r>
      <w:bookmarkEnd w:id="20"/>
    </w:p>
    <w:p w14:paraId="2F5CB40C" w14:textId="6C82D7E7" w:rsidR="004D0209" w:rsidRDefault="004D0209" w:rsidP="004D0209">
      <w:pPr>
        <w:spacing w:before="240"/>
      </w:pPr>
      <w:r>
        <w:t>La presente ley entrará en vigencia a partir de la fecha de su promulgación, y deroga todas aquellas disposiciones que le sean contrarias</w:t>
      </w:r>
      <w:r w:rsidR="0001592F">
        <w:t>.</w:t>
      </w:r>
    </w:p>
    <w:p w14:paraId="79594DF5" w14:textId="77777777" w:rsidR="003B06E3" w:rsidRDefault="003B06E3">
      <w:r>
        <w:br w:type="page"/>
      </w:r>
    </w:p>
    <w:p w14:paraId="1C5ED6E5" w14:textId="12B65EA3" w:rsidR="004D0209" w:rsidRDefault="004D0209" w:rsidP="004D0209">
      <w:pPr>
        <w:spacing w:before="240"/>
      </w:pPr>
      <w:r>
        <w:lastRenderedPageBreak/>
        <w:t>EL SECRETARIO GENERAL DEL H. SENADO DE LA REPUBLICA</w:t>
      </w:r>
    </w:p>
    <w:p w14:paraId="0E731EE4" w14:textId="37591E94" w:rsidR="004D0209" w:rsidRDefault="004D0209" w:rsidP="004D0209">
      <w:pPr>
        <w:spacing w:before="240"/>
      </w:pPr>
      <w:r>
        <w:t>GREGORIO</w:t>
      </w:r>
      <w:r w:rsidR="003B06E3">
        <w:t xml:space="preserve"> Eljach</w:t>
      </w:r>
    </w:p>
    <w:p w14:paraId="0637150B" w14:textId="7ADD14C7" w:rsidR="004D0209" w:rsidRDefault="004D0209" w:rsidP="004D0209">
      <w:pPr>
        <w:spacing w:before="240"/>
      </w:pPr>
      <w:r>
        <w:t xml:space="preserve">EL SECRETARIO GENERAL DE LA H. CÁMARA DE REPRESENTANTES </w:t>
      </w:r>
    </w:p>
    <w:p w14:paraId="46F86961" w14:textId="77777777" w:rsidR="004D0209" w:rsidRDefault="004D0209" w:rsidP="004D0209">
      <w:pPr>
        <w:spacing w:before="240"/>
      </w:pPr>
      <w:r>
        <w:t>ERTO MANTILLA SERRANO</w:t>
      </w:r>
    </w:p>
    <w:p w14:paraId="2926DEB4" w14:textId="77777777" w:rsidR="004D0209" w:rsidRDefault="004D0209" w:rsidP="004D0209">
      <w:pPr>
        <w:spacing w:before="240"/>
      </w:pPr>
      <w:r>
        <w:t>EL MINISTRO DEL INTERIOR,</w:t>
      </w:r>
    </w:p>
    <w:p w14:paraId="533A5929" w14:textId="77777777" w:rsidR="004D0209" w:rsidRDefault="004D0209" w:rsidP="004D0209">
      <w:pPr>
        <w:spacing w:before="240"/>
      </w:pPr>
      <w:r>
        <w:t>EL MINISTRO DE HACIENDA Y CRÉDITO PÚBLICO,</w:t>
      </w:r>
    </w:p>
    <w:p w14:paraId="007B5576" w14:textId="77777777" w:rsidR="004D0209" w:rsidRDefault="004D0209" w:rsidP="004D0209">
      <w:pPr>
        <w:spacing w:before="240"/>
      </w:pPr>
      <w:r>
        <w:t>MAURICIO CÁRDENAS SANTAMARÍA</w:t>
      </w:r>
    </w:p>
    <w:p w14:paraId="168A41FF" w14:textId="77777777" w:rsidR="004D0209" w:rsidRDefault="004D0209" w:rsidP="004D0209">
      <w:pPr>
        <w:spacing w:before="240"/>
      </w:pPr>
      <w:r>
        <w:t>LA VICEMINISTRA DE TURISMO DEL MINISTERIO DE COMERCIO, INDUSTRIA Y TURISMO, ENCARGADA DE LAS FUNCIONES DEL DESPACHO DE LA MINISTRA DE COMERCIO, INDUSTRIA Y</w:t>
      </w:r>
    </w:p>
    <w:p w14:paraId="51129AF8" w14:textId="77777777" w:rsidR="004D0209" w:rsidRDefault="004D0209" w:rsidP="004D0209">
      <w:pPr>
        <w:spacing w:before="240"/>
      </w:pPr>
      <w:r>
        <w:t>TURISMO,</w:t>
      </w:r>
    </w:p>
    <w:p w14:paraId="51CFFE70" w14:textId="77777777" w:rsidR="004D0209" w:rsidRDefault="004D0209" w:rsidP="004D0209">
      <w:pPr>
        <w:spacing w:before="240"/>
      </w:pPr>
      <w:r>
        <w:t>LA MINISTRA DE EDUCACIÓN NACIONAL,/</w:t>
      </w:r>
    </w:p>
    <w:p w14:paraId="3360E4DB" w14:textId="77777777" w:rsidR="004D0209" w:rsidRDefault="004D0209" w:rsidP="004D0209">
      <w:pPr>
        <w:spacing w:before="240"/>
      </w:pPr>
      <w:r>
        <w:t>EL MINISTRO DE TECNOLOGÍAS</w:t>
      </w:r>
    </w:p>
    <w:p w14:paraId="27387B0E" w14:textId="77777777" w:rsidR="004D0209" w:rsidRDefault="004D0209" w:rsidP="004D0209">
      <w:pPr>
        <w:spacing w:before="240"/>
      </w:pPr>
      <w:r>
        <w:t>DAVID LUNA SÁNCHEZ</w:t>
      </w:r>
    </w:p>
    <w:p w14:paraId="3CD5853A" w14:textId="55A0F4DC" w:rsidR="004D0209" w:rsidRDefault="004D0209" w:rsidP="004D0209">
      <w:pPr>
        <w:spacing w:before="240"/>
      </w:pPr>
      <w:r>
        <w:t>LA VICEMINISTRA DE CULTURA DEL MINISTERIO DE CULTURA, ENCARGADA DE LAS FUNCIONES DE</w:t>
      </w:r>
      <w:r w:rsidR="003B06E3">
        <w:t>L</w:t>
      </w:r>
      <w:r>
        <w:t xml:space="preserve"> DESPACHO DE LA MINISTRA DE CULTURA,</w:t>
      </w:r>
    </w:p>
    <w:p w14:paraId="5A2DF1A5" w14:textId="2F9C2D98" w:rsidR="00657963" w:rsidRDefault="004D0209" w:rsidP="004D0209">
      <w:pPr>
        <w:spacing w:before="240"/>
      </w:pPr>
      <w:r>
        <w:t>ZULIA MAR</w:t>
      </w:r>
      <w:r w:rsidR="00297726">
        <w:t>Í</w:t>
      </w:r>
      <w:r>
        <w:t>A</w:t>
      </w:r>
      <w:r w:rsidR="00297726">
        <w:t xml:space="preserve"> </w:t>
      </w:r>
      <w:r>
        <w:t>MENA GARCÍA</w:t>
      </w:r>
    </w:p>
    <w:sectPr w:rsidR="00657963"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4F5FB" w14:textId="77777777" w:rsidR="0079305B" w:rsidRDefault="0079305B" w:rsidP="0001592F">
      <w:pPr>
        <w:spacing w:line="240" w:lineRule="auto"/>
      </w:pPr>
      <w:r>
        <w:separator/>
      </w:r>
    </w:p>
  </w:endnote>
  <w:endnote w:type="continuationSeparator" w:id="0">
    <w:p w14:paraId="3ECBE839" w14:textId="77777777" w:rsidR="0079305B" w:rsidRDefault="0079305B" w:rsidP="0001592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18666446"/>
      <w:docPartObj>
        <w:docPartGallery w:val="Page Numbers (Bottom of Page)"/>
        <w:docPartUnique/>
      </w:docPartObj>
    </w:sdtPr>
    <w:sdtContent>
      <w:p w14:paraId="3EB9415A" w14:textId="620F879C" w:rsidR="0001592F" w:rsidRDefault="0001592F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03C781C" w14:textId="77777777" w:rsidR="0001592F" w:rsidRDefault="0001592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E16179" w14:textId="77777777" w:rsidR="0079305B" w:rsidRDefault="0079305B" w:rsidP="0001592F">
      <w:pPr>
        <w:spacing w:line="240" w:lineRule="auto"/>
      </w:pPr>
      <w:r>
        <w:separator/>
      </w:r>
    </w:p>
  </w:footnote>
  <w:footnote w:type="continuationSeparator" w:id="0">
    <w:p w14:paraId="0A0CD29A" w14:textId="77777777" w:rsidR="0079305B" w:rsidRDefault="0079305B" w:rsidP="0001592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71369"/>
    <w:multiLevelType w:val="hybridMultilevel"/>
    <w:tmpl w:val="DB2E047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D40591"/>
    <w:multiLevelType w:val="hybridMultilevel"/>
    <w:tmpl w:val="E64806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1885630">
    <w:abstractNumId w:val="1"/>
  </w:num>
  <w:num w:numId="2" w16cid:durableId="1614438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0209"/>
    <w:rsid w:val="000121EA"/>
    <w:rsid w:val="0001592F"/>
    <w:rsid w:val="000D534E"/>
    <w:rsid w:val="00192099"/>
    <w:rsid w:val="00193D4B"/>
    <w:rsid w:val="002427F1"/>
    <w:rsid w:val="002427F7"/>
    <w:rsid w:val="00247E28"/>
    <w:rsid w:val="00297726"/>
    <w:rsid w:val="002A22D4"/>
    <w:rsid w:val="002D66BA"/>
    <w:rsid w:val="0032694A"/>
    <w:rsid w:val="003929CE"/>
    <w:rsid w:val="003B06E3"/>
    <w:rsid w:val="004D0209"/>
    <w:rsid w:val="00541BCE"/>
    <w:rsid w:val="005F57A5"/>
    <w:rsid w:val="00657963"/>
    <w:rsid w:val="00726307"/>
    <w:rsid w:val="007634DA"/>
    <w:rsid w:val="0079305B"/>
    <w:rsid w:val="008208B5"/>
    <w:rsid w:val="0085553A"/>
    <w:rsid w:val="00874EE2"/>
    <w:rsid w:val="009C6208"/>
    <w:rsid w:val="00A50179"/>
    <w:rsid w:val="00A649BD"/>
    <w:rsid w:val="00A82D05"/>
    <w:rsid w:val="00A84537"/>
    <w:rsid w:val="00B34CAA"/>
    <w:rsid w:val="00BD4047"/>
    <w:rsid w:val="00BF1D3F"/>
    <w:rsid w:val="00C5675D"/>
    <w:rsid w:val="00C95A6E"/>
    <w:rsid w:val="00D83673"/>
    <w:rsid w:val="00EC35D9"/>
    <w:rsid w:val="00FF1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BDE67"/>
  <w15:chartTrackingRefBased/>
  <w15:docId w15:val="{EC6908B8-D8A9-4FDB-9641-78A45552A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24"/>
        <w:szCs w:val="22"/>
        <w:lang w:val="es-ES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Cita"/>
    <w:link w:val="Ttulo1Car"/>
    <w:autoRedefine/>
    <w:uiPriority w:val="9"/>
    <w:qFormat/>
    <w:rsid w:val="002D66BA"/>
    <w:pPr>
      <w:keepNext/>
      <w:keepLines/>
      <w:outlineLvl w:val="0"/>
    </w:pPr>
    <w:rPr>
      <w:rFonts w:eastAsiaTheme="majorEastAsia" w:cstheme="majorBidi"/>
      <w:b/>
      <w:bCs/>
      <w:i w:val="0"/>
      <w:sz w:val="32"/>
      <w:szCs w:val="28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01592F"/>
    <w:pPr>
      <w:keepNext/>
      <w:keepLines/>
      <w:spacing w:before="240" w:after="240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paragraph" w:styleId="Ttulo3">
    <w:name w:val="heading 3"/>
    <w:basedOn w:val="Ttulo2"/>
    <w:next w:val="Normal"/>
    <w:link w:val="Ttulo3Car"/>
    <w:autoRedefine/>
    <w:uiPriority w:val="9"/>
    <w:unhideWhenUsed/>
    <w:qFormat/>
    <w:rsid w:val="002D66BA"/>
    <w:pPr>
      <w:outlineLvl w:val="2"/>
    </w:pPr>
    <w:rPr>
      <w:sz w:val="24"/>
    </w:rPr>
  </w:style>
  <w:style w:type="paragraph" w:styleId="Ttulo4">
    <w:name w:val="heading 4"/>
    <w:basedOn w:val="Ttulo9"/>
    <w:link w:val="Ttulo4Car"/>
    <w:autoRedefine/>
    <w:uiPriority w:val="9"/>
    <w:semiHidden/>
    <w:unhideWhenUsed/>
    <w:qFormat/>
    <w:rsid w:val="002D66BA"/>
    <w:pPr>
      <w:spacing w:before="0"/>
      <w:outlineLvl w:val="3"/>
    </w:pPr>
    <w:rPr>
      <w:rFonts w:ascii="Verdana" w:hAnsi="Verdana"/>
      <w:b/>
      <w:bCs/>
      <w:i w:val="0"/>
      <w:iCs w:val="0"/>
      <w:color w:val="000000" w:themeColor="text1"/>
      <w:sz w:val="24"/>
    </w:rPr>
  </w:style>
  <w:style w:type="paragraph" w:styleId="Ttulo5">
    <w:name w:val="heading 5"/>
    <w:basedOn w:val="Normal"/>
    <w:next w:val="Ttulo8"/>
    <w:link w:val="Ttulo5Car"/>
    <w:autoRedefine/>
    <w:uiPriority w:val="9"/>
    <w:semiHidden/>
    <w:unhideWhenUsed/>
    <w:qFormat/>
    <w:rsid w:val="002D66BA"/>
    <w:pPr>
      <w:keepNext/>
      <w:keepLines/>
      <w:outlineLvl w:val="4"/>
    </w:pPr>
    <w:rPr>
      <w:rFonts w:eastAsiaTheme="majorEastAsia" w:cstheme="majorBidi"/>
      <w:b/>
      <w:color w:val="000000" w:themeColor="text1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D020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D020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208B5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208B5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D66BA"/>
    <w:rPr>
      <w:rFonts w:eastAsiaTheme="majorEastAsia" w:cstheme="majorBidi"/>
      <w:b/>
      <w:bCs/>
      <w:iCs/>
      <w:color w:val="000000" w:themeColor="text1"/>
      <w:sz w:val="32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41BCE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541BCE"/>
    <w:rPr>
      <w:i/>
      <w:iCs/>
      <w:color w:val="000000" w:themeColor="text1"/>
    </w:rPr>
  </w:style>
  <w:style w:type="character" w:customStyle="1" w:styleId="Ttulo2Car">
    <w:name w:val="Título 2 Car"/>
    <w:basedOn w:val="Fuentedeprrafopredeter"/>
    <w:link w:val="Ttulo2"/>
    <w:uiPriority w:val="9"/>
    <w:rsid w:val="0001592F"/>
    <w:rPr>
      <w:rFonts w:eastAsiaTheme="majorEastAsia" w:cstheme="majorBidi"/>
      <w:b/>
      <w:bCs/>
      <w:color w:val="000000" w:themeColor="tex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D66BA"/>
    <w:rPr>
      <w:rFonts w:eastAsiaTheme="majorEastAsia" w:cstheme="majorBidi"/>
      <w:b/>
      <w:bCs/>
      <w:color w:val="000000" w:themeColor="text1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D66BA"/>
    <w:rPr>
      <w:rFonts w:eastAsiaTheme="majorEastAsia" w:cstheme="majorBidi"/>
      <w:b/>
      <w:bCs/>
      <w:color w:val="000000" w:themeColor="text1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208B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D66BA"/>
    <w:rPr>
      <w:rFonts w:eastAsiaTheme="majorEastAsia" w:cstheme="majorBidi"/>
      <w:b/>
      <w:color w:val="000000" w:themeColor="text1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208B5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styleId="Ttulodellibro">
    <w:name w:val="Book Title"/>
    <w:basedOn w:val="Fuentedeprrafopredeter"/>
    <w:uiPriority w:val="33"/>
    <w:qFormat/>
    <w:rsid w:val="002D66BA"/>
    <w:rPr>
      <w:rFonts w:ascii="Verdana" w:hAnsi="Verdana"/>
      <w:b/>
      <w:bCs/>
      <w:i w:val="0"/>
      <w:iCs/>
      <w:strike w:val="0"/>
      <w:dstrike w:val="0"/>
      <w:vanish w:val="0"/>
      <w:color w:val="000000" w:themeColor="text1"/>
      <w:spacing w:val="5"/>
      <w:sz w:val="36"/>
      <w:vertAlign w:val="baseline"/>
    </w:rPr>
  </w:style>
  <w:style w:type="paragraph" w:styleId="Sinespaciado">
    <w:name w:val="No Spacing"/>
    <w:basedOn w:val="Ttulo3"/>
    <w:next w:val="Ttulo1"/>
    <w:autoRedefine/>
    <w:uiPriority w:val="1"/>
    <w:qFormat/>
    <w:rsid w:val="007634DA"/>
    <w:pPr>
      <w:keepNext w:val="0"/>
      <w:keepLines w:val="0"/>
      <w:spacing w:line="240" w:lineRule="auto"/>
    </w:pPr>
    <w:rPr>
      <w:rFonts w:eastAsiaTheme="minorHAnsi" w:cstheme="minorBidi"/>
      <w:bCs w:val="0"/>
      <w:color w:val="auto"/>
    </w:rPr>
  </w:style>
  <w:style w:type="paragraph" w:styleId="Ttulo">
    <w:name w:val="Title"/>
    <w:aliases w:val="Título5"/>
    <w:basedOn w:val="Ttulo5"/>
    <w:next w:val="Ttulo5"/>
    <w:link w:val="TtuloCar"/>
    <w:autoRedefine/>
    <w:uiPriority w:val="10"/>
    <w:qFormat/>
    <w:rsid w:val="00A50179"/>
    <w:pPr>
      <w:spacing w:after="80"/>
      <w:contextualSpacing/>
    </w:pPr>
    <w:rPr>
      <w:spacing w:val="-10"/>
      <w:kern w:val="28"/>
      <w:szCs w:val="56"/>
    </w:rPr>
  </w:style>
  <w:style w:type="character" w:customStyle="1" w:styleId="TtuloCar">
    <w:name w:val="Título Car"/>
    <w:aliases w:val="Título5 Car"/>
    <w:basedOn w:val="Fuentedeprrafopredeter"/>
    <w:link w:val="Ttulo"/>
    <w:uiPriority w:val="10"/>
    <w:rsid w:val="00A50179"/>
    <w:rPr>
      <w:rFonts w:eastAsiaTheme="majorEastAsia" w:cstheme="majorBidi"/>
      <w:b/>
      <w:color w:val="000000" w:themeColor="text1"/>
      <w:spacing w:val="-10"/>
      <w:kern w:val="28"/>
      <w:szCs w:val="56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D020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D0209"/>
    <w:rPr>
      <w:rFonts w:asciiTheme="minorHAnsi" w:eastAsiaTheme="majorEastAsia" w:hAnsiTheme="minorHAnsi" w:cstheme="majorBidi"/>
      <w:color w:val="595959" w:themeColor="text1" w:themeTint="A6"/>
    </w:rPr>
  </w:style>
  <w:style w:type="paragraph" w:styleId="Subttulo">
    <w:name w:val="Subtitle"/>
    <w:basedOn w:val="Normal"/>
    <w:next w:val="Normal"/>
    <w:link w:val="SubttuloCar"/>
    <w:uiPriority w:val="11"/>
    <w:qFormat/>
    <w:rsid w:val="004D020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D020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Prrafodelista">
    <w:name w:val="List Paragraph"/>
    <w:basedOn w:val="Normal"/>
    <w:uiPriority w:val="34"/>
    <w:qFormat/>
    <w:rsid w:val="004D020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D0209"/>
    <w:rPr>
      <w:i/>
      <w:iCs/>
      <w:color w:val="365F9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D020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D0209"/>
    <w:rPr>
      <w:i/>
      <w:iCs/>
      <w:color w:val="365F9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D0209"/>
    <w:rPr>
      <w:b/>
      <w:bCs/>
      <w:smallCaps/>
      <w:color w:val="365F9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1592F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1592F"/>
  </w:style>
  <w:style w:type="paragraph" w:styleId="Piedepgina">
    <w:name w:val="footer"/>
    <w:basedOn w:val="Normal"/>
    <w:link w:val="PiedepginaCar"/>
    <w:uiPriority w:val="99"/>
    <w:unhideWhenUsed/>
    <w:rsid w:val="0001592F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1592F"/>
  </w:style>
  <w:style w:type="paragraph" w:styleId="TtuloTDC">
    <w:name w:val="TOC Heading"/>
    <w:basedOn w:val="Ttulo1"/>
    <w:next w:val="Normal"/>
    <w:uiPriority w:val="39"/>
    <w:unhideWhenUsed/>
    <w:qFormat/>
    <w:rsid w:val="0001592F"/>
    <w:pPr>
      <w:spacing w:before="240" w:line="259" w:lineRule="auto"/>
      <w:outlineLvl w:val="9"/>
    </w:pPr>
    <w:rPr>
      <w:rFonts w:asciiTheme="majorHAnsi" w:hAnsiTheme="majorHAnsi"/>
      <w:b w:val="0"/>
      <w:bCs w:val="0"/>
      <w:iCs w:val="0"/>
      <w:color w:val="365F91" w:themeColor="accent1" w:themeShade="BF"/>
      <w:szCs w:val="32"/>
      <w:lang w:val="es-CO"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01592F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1592F"/>
    <w:pPr>
      <w:spacing w:after="100"/>
      <w:ind w:left="240"/>
    </w:pPr>
  </w:style>
  <w:style w:type="paragraph" w:styleId="TDC3">
    <w:name w:val="toc 3"/>
    <w:basedOn w:val="Normal"/>
    <w:next w:val="Normal"/>
    <w:autoRedefine/>
    <w:uiPriority w:val="39"/>
    <w:unhideWhenUsed/>
    <w:rsid w:val="0001592F"/>
    <w:pPr>
      <w:spacing w:after="100"/>
      <w:ind w:left="480"/>
    </w:pPr>
  </w:style>
  <w:style w:type="character" w:styleId="Hipervnculo">
    <w:name w:val="Hyperlink"/>
    <w:basedOn w:val="Fuentedeprrafopredeter"/>
    <w:uiPriority w:val="99"/>
    <w:unhideWhenUsed/>
    <w:rsid w:val="0001592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8DB90-35CB-4816-A28A-644885C66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13</Pages>
  <Words>2262</Words>
  <Characters>13330</Characters>
  <Application>Microsoft Office Word</Application>
  <DocSecurity>0</DocSecurity>
  <Lines>317</Lines>
  <Paragraphs>154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Pabon Perilla Ferney Alejandro</dc:creator>
  <cp:keywords/>
  <dc:description/>
  <cp:lastModifiedBy>John Jairo Jimenez</cp:lastModifiedBy>
  <cp:revision>4</cp:revision>
  <dcterms:created xsi:type="dcterms:W3CDTF">2026-02-26T19:49:00Z</dcterms:created>
  <dcterms:modified xsi:type="dcterms:W3CDTF">2026-05-15T13:41:00Z</dcterms:modified>
</cp:coreProperties>
</file>